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63117" w14:textId="0CB627A6" w:rsidR="008C2C8C" w:rsidRPr="000F54EE" w:rsidRDefault="00E01386" w:rsidP="000F54EE">
      <w:pPr>
        <w:pStyle w:val="Titre"/>
      </w:pPr>
      <w:r>
        <w:t>École d’été « Patrimoine et Numérique »</w:t>
      </w:r>
    </w:p>
    <w:p w14:paraId="385631F6" w14:textId="5B79B77D" w:rsidR="00430AC8" w:rsidRDefault="00E01386" w:rsidP="000F54EE">
      <w:pPr>
        <w:pStyle w:val="Sous-titre"/>
      </w:pPr>
      <w:r>
        <w:t>Gouvernance informationnelle </w:t>
      </w:r>
      <w:r w:rsidRPr="00E01386">
        <w:t>: enjeux et perspectives</w:t>
      </w:r>
    </w:p>
    <w:p w14:paraId="529468B5" w14:textId="77777777" w:rsidR="00452B24" w:rsidRDefault="00452B24" w:rsidP="00452B24">
      <w:pPr>
        <w:pStyle w:val="Titre1"/>
      </w:pPr>
      <w:r>
        <w:t>Contexte</w:t>
      </w:r>
    </w:p>
    <w:p w14:paraId="2281D048" w14:textId="77777777" w:rsidR="00452B24" w:rsidRDefault="00452B24" w:rsidP="00452B24">
      <w:pPr>
        <w:pStyle w:val="Titre2"/>
      </w:pPr>
      <w:r>
        <w:t>Révolution numérique</w:t>
      </w:r>
    </w:p>
    <w:p w14:paraId="69201C8A" w14:textId="77777777" w:rsidR="00452B24" w:rsidRDefault="00452B24" w:rsidP="00452B24">
      <w:pPr>
        <w:pStyle w:val="CorpsTexte"/>
      </w:pPr>
      <w:r w:rsidRPr="00B9429D">
        <w:t xml:space="preserve">Bien qu'elle trouve ses racines dans les débuts de l'automatisation au </w:t>
      </w:r>
      <w:r w:rsidRPr="002B2F9F">
        <w:rPr>
          <w:smallCaps/>
        </w:rPr>
        <w:t>xviii</w:t>
      </w:r>
      <w:r w:rsidRPr="002B2F9F">
        <w:rPr>
          <w:vertAlign w:val="superscript"/>
        </w:rPr>
        <w:t>e</w:t>
      </w:r>
      <w:r w:rsidRPr="00B9429D">
        <w:t xml:space="preserve"> siècle, la révolution numérique débute véritablement à partir du milieu du </w:t>
      </w:r>
      <w:r w:rsidRPr="002B2F9F">
        <w:rPr>
          <w:smallCaps/>
        </w:rPr>
        <w:t>xx</w:t>
      </w:r>
      <w:r w:rsidRPr="002B2F9F">
        <w:rPr>
          <w:vertAlign w:val="superscript"/>
        </w:rPr>
        <w:t>e</w:t>
      </w:r>
      <w:r w:rsidRPr="00B9429D">
        <w:t xml:space="preserve"> siècle avec le développement de l'informatique et des télécommunications (Révolution numérique 20</w:t>
      </w:r>
      <w:r>
        <w:t>21</w:t>
      </w:r>
      <w:r w:rsidRPr="00B9429D">
        <w:t>).</w:t>
      </w:r>
    </w:p>
    <w:p w14:paraId="0FF3D7CA" w14:textId="77777777" w:rsidR="00452B24" w:rsidRDefault="00452B24" w:rsidP="00452B24">
      <w:pPr>
        <w:pStyle w:val="CorpsTexte"/>
      </w:pPr>
      <w:r w:rsidRPr="006741F9">
        <w:t>Au cours des années 2000, une étape supplémentaire est franchie avec la volonté de transformation numérique des institutions et de la société.</w:t>
      </w:r>
    </w:p>
    <w:p w14:paraId="18AA2B50" w14:textId="77777777" w:rsidR="00452B24" w:rsidRDefault="00452B24" w:rsidP="00452B24">
      <w:pPr>
        <w:pStyle w:val="Titre3"/>
        <w:pBdr>
          <w:top w:val="single" w:sz="4" w:space="1" w:color="auto"/>
          <w:left w:val="single" w:sz="4" w:space="4" w:color="auto"/>
          <w:bottom w:val="single" w:sz="4" w:space="1" w:color="auto"/>
          <w:right w:val="single" w:sz="4" w:space="4" w:color="auto"/>
        </w:pBdr>
        <w:shd w:val="clear" w:color="auto" w:fill="E7E6E6"/>
      </w:pPr>
      <w:r>
        <w:t>Exemples</w:t>
      </w:r>
    </w:p>
    <w:p w14:paraId="534C681D" w14:textId="77777777" w:rsidR="00452B24" w:rsidRDefault="00452B24" w:rsidP="00452B24">
      <w:pPr>
        <w:pStyle w:val="CorpsTexte"/>
        <w:pBdr>
          <w:top w:val="single" w:sz="4" w:space="1" w:color="auto"/>
          <w:left w:val="single" w:sz="4" w:space="4" w:color="auto"/>
          <w:bottom w:val="single" w:sz="4" w:space="1" w:color="auto"/>
          <w:right w:val="single" w:sz="4" w:space="4" w:color="auto"/>
        </w:pBdr>
        <w:shd w:val="clear" w:color="auto" w:fill="E7E6E6"/>
      </w:pPr>
      <w:r w:rsidRPr="006E12E5">
        <w:t xml:space="preserve">L'un des objectifs du programme </w:t>
      </w:r>
      <w:r w:rsidRPr="00FF6DA6">
        <w:rPr>
          <w:i/>
        </w:rPr>
        <w:t>Action publique 2022</w:t>
      </w:r>
      <w:r w:rsidRPr="006E12E5">
        <w:t xml:space="preserve"> du Gouvernement français est une dématérialisation de l'ensemble (100 %) des services publics en 2022 (Texier 2019</w:t>
      </w:r>
      <w:r>
        <w:t> </w:t>
      </w:r>
      <w:r w:rsidRPr="006E12E5">
        <w:t>; Gouvernement français</w:t>
      </w:r>
      <w:r>
        <w:t xml:space="preserve"> 2021</w:t>
      </w:r>
      <w:r w:rsidRPr="006E12E5">
        <w:t>).</w:t>
      </w:r>
    </w:p>
    <w:p w14:paraId="35430863" w14:textId="77777777" w:rsidR="00452B24" w:rsidRDefault="00452B24" w:rsidP="00452B24">
      <w:pPr>
        <w:pStyle w:val="CorpsTexte"/>
        <w:pBdr>
          <w:top w:val="single" w:sz="4" w:space="1" w:color="auto"/>
          <w:left w:val="single" w:sz="4" w:space="4" w:color="auto"/>
          <w:bottom w:val="single" w:sz="4" w:space="1" w:color="auto"/>
          <w:right w:val="single" w:sz="4" w:space="4" w:color="auto"/>
        </w:pBdr>
        <w:shd w:val="clear" w:color="auto" w:fill="E7E6E6"/>
      </w:pPr>
      <w:r w:rsidRPr="00FF6DA6">
        <w:t xml:space="preserve">En Suisse, </w:t>
      </w:r>
      <w:r>
        <w:t>l</w:t>
      </w:r>
      <w:r w:rsidRPr="00FF6DA6">
        <w:t xml:space="preserve">a Conférence des directrices et directeurs des départements cantonaux de justice et police (CCDJP) a lancé le projet </w:t>
      </w:r>
      <w:r w:rsidRPr="00E96BD3">
        <w:rPr>
          <w:i/>
        </w:rPr>
        <w:t>Justitia 4.0</w:t>
      </w:r>
      <w:r w:rsidRPr="00FF6DA6">
        <w:t xml:space="preserve"> qui vise à offrir un portail central hautement sécurisé par lequel transiteront les dossiers judiciaires entre les parties et les autorités (Foucault-Dumas 2019).</w:t>
      </w:r>
    </w:p>
    <w:p w14:paraId="67A58E5C" w14:textId="77777777" w:rsidR="00452B24" w:rsidRPr="005961DA" w:rsidRDefault="00452B24" w:rsidP="00452B24">
      <w:pPr>
        <w:pStyle w:val="CorpsTexte"/>
      </w:pPr>
      <w:r>
        <w:t xml:space="preserve">Cette transformation numérique a un coût énergétique. Hugues Ferreboeuf (2018, pp. 15-16) et son équipe estiment que « la consommation énergétique du Numérique dans le monde augmente d’environ 9% par an (période 2015 à 2020) » et que « [l]a part du Numérique dans la consommation finale d’énergie (elle-même en croissance de 1,5% par an) aura ainsi augmenté de presque 70% entre 2013 et 2020 ». </w:t>
      </w:r>
      <w:r w:rsidRPr="00701C92">
        <w:t>Le Bitcoin consommerait plus d'électricité que la Suisse (Gaudiaut 2019).</w:t>
      </w:r>
    </w:p>
    <w:p w14:paraId="55535BCD" w14:textId="77777777" w:rsidR="00452B24" w:rsidRDefault="00452B24" w:rsidP="00452B24">
      <w:pPr>
        <w:pStyle w:val="Titre2"/>
        <w:keepNext/>
      </w:pPr>
      <w:r>
        <w:lastRenderedPageBreak/>
        <w:t>Infobésité</w:t>
      </w:r>
    </w:p>
    <w:p w14:paraId="79F5B564" w14:textId="3FC8AE18" w:rsidR="00452B24" w:rsidRDefault="00452B24" w:rsidP="00452B24">
      <w:pPr>
        <w:pStyle w:val="CorpsTexte"/>
        <w:keepNext/>
      </w:pPr>
      <w:r>
        <w:rPr>
          <w:noProof/>
          <w:lang w:val="fr-CH" w:eastAsia="fr-CH"/>
        </w:rPr>
        <w:drawing>
          <wp:inline distT="0" distB="0" distL="0" distR="0" wp14:anchorId="1B276D2F" wp14:editId="5BC56BE2">
            <wp:extent cx="5764530" cy="4102735"/>
            <wp:effectExtent l="0" t="0" r="762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4530" cy="4102735"/>
                    </a:xfrm>
                    <a:prstGeom prst="rect">
                      <a:avLst/>
                    </a:prstGeom>
                    <a:noFill/>
                    <a:ln>
                      <a:noFill/>
                    </a:ln>
                  </pic:spPr>
                </pic:pic>
              </a:graphicData>
            </a:graphic>
          </wp:inline>
        </w:drawing>
      </w:r>
    </w:p>
    <w:p w14:paraId="623CA913" w14:textId="77777777" w:rsidR="00452B24" w:rsidRDefault="00452B24" w:rsidP="00452B24">
      <w:pPr>
        <w:pStyle w:val="CorpsTexte"/>
        <w:keepNext/>
        <w:spacing w:before="0" w:after="240"/>
        <w:jc w:val="right"/>
      </w:pPr>
      <w:r w:rsidRPr="007F3C08">
        <w:rPr>
          <w:sz w:val="20"/>
        </w:rPr>
        <w:t>(Jenik 2019)</w:t>
      </w:r>
    </w:p>
    <w:p w14:paraId="4C2F1F89" w14:textId="77777777" w:rsidR="00452B24" w:rsidRPr="00DF1ED0" w:rsidRDefault="00452B24" w:rsidP="00452B24">
      <w:pPr>
        <w:pStyle w:val="CorpsTexte"/>
      </w:pPr>
      <w:r w:rsidRPr="00DF1ED0">
        <w:t>Un rapport de Deloitte estimerait la taille de l'univers numérique en 2020 à 44 zettabytes, soit 44 milliards de téra-octets, dont un grand nombre de données ne seront pas structurées (Boittiaux 2017).</w:t>
      </w:r>
    </w:p>
    <w:p w14:paraId="46D9983F" w14:textId="77777777" w:rsidR="00452B24" w:rsidRDefault="00452B24" w:rsidP="00452B24">
      <w:pPr>
        <w:pStyle w:val="Titre2"/>
      </w:pPr>
      <w:r>
        <w:t>Sécurité de l’information</w:t>
      </w:r>
    </w:p>
    <w:p w14:paraId="24B27BAF" w14:textId="77777777" w:rsidR="00452B24" w:rsidRDefault="00452B24" w:rsidP="00452B24">
      <w:pPr>
        <w:pStyle w:val="CorpsTexte"/>
      </w:pPr>
      <w:r w:rsidRPr="00B73332">
        <w:t xml:space="preserve">Durant la dernière décennie, le nombre de fuites de données et de "records" exposés </w:t>
      </w:r>
      <w:r>
        <w:t>a crû</w:t>
      </w:r>
      <w:r w:rsidRPr="00B73332">
        <w:t xml:space="preserve"> </w:t>
      </w:r>
      <w:r>
        <w:t xml:space="preserve">jusqu’en 2017, avant de se calmer un peu </w:t>
      </w:r>
      <w:r w:rsidRPr="00B73332">
        <w:t>(Clement 20</w:t>
      </w:r>
      <w:r>
        <w:t>21</w:t>
      </w:r>
      <w:r w:rsidRPr="00B73332">
        <w:t>)</w:t>
      </w:r>
      <w:r>
        <w:t>.</w:t>
      </w:r>
    </w:p>
    <w:p w14:paraId="6E3FB765" w14:textId="3C729720" w:rsidR="00452B24" w:rsidRDefault="00452B24" w:rsidP="00452B24">
      <w:pPr>
        <w:pStyle w:val="CorpsTexte"/>
      </w:pPr>
      <w:r w:rsidRPr="00E3696E">
        <w:t>Gartner estime que les dépenses investies dans la sécurité de l'information dépasseront les 124 milliards de dollar</w:t>
      </w:r>
      <w:r>
        <w:t>s en 2019.</w:t>
      </w:r>
      <w:r w:rsidRPr="00E3696E">
        <w:t xml:space="preserve"> (Moore, Keen 2018).</w:t>
      </w:r>
    </w:p>
    <w:p w14:paraId="4557A54B" w14:textId="2C136BDF" w:rsidR="00624ED1" w:rsidRPr="000F54EE" w:rsidRDefault="00624ED1" w:rsidP="00624ED1">
      <w:pPr>
        <w:pStyle w:val="Titre1"/>
      </w:pPr>
      <w:r>
        <w:t>Terminologie</w:t>
      </w:r>
    </w:p>
    <w:p w14:paraId="4E6CFF05" w14:textId="77777777" w:rsidR="00624ED1" w:rsidRDefault="00624ED1" w:rsidP="00624ED1">
      <w:pPr>
        <w:pStyle w:val="CorpsTexte"/>
      </w:pPr>
      <w:r>
        <w:t>Il est important de différencier les notions de gouvernance des données et de gouvernance de l’information. Pour cela, il faut s’intéresser aux concepts qui composent ces deux notions.</w:t>
      </w:r>
    </w:p>
    <w:p w14:paraId="46803550" w14:textId="77777777" w:rsidR="00624ED1" w:rsidRPr="00495697" w:rsidRDefault="00624ED1" w:rsidP="00624ED1">
      <w:pPr>
        <w:pStyle w:val="Titre2"/>
        <w:rPr>
          <w:lang w:val="en-US"/>
        </w:rPr>
      </w:pPr>
      <w:r w:rsidRPr="00495697">
        <w:rPr>
          <w:lang w:val="en-US"/>
        </w:rPr>
        <w:t>Gouvernance</w:t>
      </w:r>
    </w:p>
    <w:p w14:paraId="3F8A1761" w14:textId="77777777" w:rsidR="00624ED1" w:rsidRPr="00495697" w:rsidRDefault="00624ED1" w:rsidP="00624ED1">
      <w:pPr>
        <w:pStyle w:val="CorpsTexte"/>
        <w:rPr>
          <w:lang w:val="en-US"/>
        </w:rPr>
      </w:pPr>
      <w:r w:rsidRPr="00495697">
        <w:rPr>
          <w:lang w:val="en-US"/>
        </w:rPr>
        <w:t>« A senior-level administrative structure that sets strategy for an organization by identifying roles, responsibilities, decision-making processes, policies, and procedures and that monitors outcomes and compliance » (InterPARES Trust 2018a)</w:t>
      </w:r>
    </w:p>
    <w:p w14:paraId="2FAFAB7F" w14:textId="77777777" w:rsidR="00624ED1" w:rsidRPr="00495697" w:rsidRDefault="00624ED1" w:rsidP="00624ED1">
      <w:pPr>
        <w:pStyle w:val="Titre2"/>
        <w:rPr>
          <w:lang w:val="en-US"/>
        </w:rPr>
      </w:pPr>
      <w:r w:rsidRPr="00495697">
        <w:rPr>
          <w:lang w:val="en-US"/>
        </w:rPr>
        <w:t>Donnée &amp; Information</w:t>
      </w:r>
    </w:p>
    <w:p w14:paraId="0152F704" w14:textId="77777777" w:rsidR="00624ED1" w:rsidRPr="00495697" w:rsidRDefault="00624ED1" w:rsidP="00624ED1">
      <w:pPr>
        <w:pStyle w:val="CorpsTexte"/>
        <w:rPr>
          <w:lang w:val="en-US"/>
        </w:rPr>
      </w:pPr>
      <w:r w:rsidRPr="00495697">
        <w:rPr>
          <w:lang w:val="en-US"/>
        </w:rPr>
        <w:t>“An assemblage of data intended for communication either through space or across time” (InterPARES Trust 2018b)</w:t>
      </w:r>
    </w:p>
    <w:p w14:paraId="66DAF9B1" w14:textId="77777777" w:rsidR="00624ED1" w:rsidRPr="00695C09" w:rsidRDefault="00624ED1" w:rsidP="00624ED1">
      <w:pPr>
        <w:pStyle w:val="CorpsTexte"/>
        <w:rPr>
          <w:lang w:val="en-US"/>
        </w:rPr>
      </w:pPr>
      <w:r w:rsidRPr="00495697">
        <w:rPr>
          <w:lang w:val="en-US"/>
        </w:rPr>
        <w:lastRenderedPageBreak/>
        <w:t xml:space="preserve">“Whereas data connotes facts or ideas in their most atomized form, information refers to more complex concepts made up of multiple data elements. </w:t>
      </w:r>
      <w:r w:rsidRPr="00695C09">
        <w:rPr>
          <w:lang w:val="en-US"/>
        </w:rPr>
        <w:t>Information may take many forms, including words, sounds, images, and formulas” (Society of American Archivists [s. d.]))</w:t>
      </w:r>
    </w:p>
    <w:p w14:paraId="79A9DFB4" w14:textId="35A60CB5" w:rsidR="00624ED1" w:rsidRDefault="00624ED1" w:rsidP="00624ED1">
      <w:pPr>
        <w:pStyle w:val="CorpsTexte"/>
      </w:pPr>
      <w:r>
        <w:rPr>
          <w:noProof/>
          <w:lang w:val="fr-CH" w:eastAsia="fr-CH"/>
        </w:rPr>
        <w:drawing>
          <wp:inline distT="0" distB="0" distL="0" distR="0" wp14:anchorId="748FF846" wp14:editId="0EAD9E7E">
            <wp:extent cx="5398770" cy="26797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8770" cy="2679700"/>
                    </a:xfrm>
                    <a:prstGeom prst="rect">
                      <a:avLst/>
                    </a:prstGeom>
                    <a:noFill/>
                    <a:ln>
                      <a:noFill/>
                    </a:ln>
                  </pic:spPr>
                </pic:pic>
              </a:graphicData>
            </a:graphic>
          </wp:inline>
        </w:drawing>
      </w:r>
    </w:p>
    <w:p w14:paraId="04F7F0FC" w14:textId="77777777" w:rsidR="00624ED1" w:rsidRDefault="00624ED1" w:rsidP="00624ED1">
      <w:pPr>
        <w:spacing w:after="240"/>
        <w:jc w:val="right"/>
      </w:pPr>
      <w:r w:rsidRPr="00077979">
        <w:rPr>
          <w:sz w:val="20"/>
        </w:rPr>
        <w:t>Perrein 2010</w:t>
      </w:r>
    </w:p>
    <w:p w14:paraId="36E498F0" w14:textId="77777777" w:rsidR="00624ED1" w:rsidRPr="006627E5" w:rsidRDefault="00624ED1" w:rsidP="00624ED1">
      <w:pPr>
        <w:spacing w:before="60"/>
        <w:ind w:left="3402" w:hanging="3402"/>
      </w:pPr>
      <w:r w:rsidRPr="006627E5">
        <w:t xml:space="preserve">IM = </w:t>
      </w:r>
      <w:r w:rsidRPr="00403083">
        <w:rPr>
          <w:i/>
        </w:rPr>
        <w:t>Information management</w:t>
      </w:r>
      <w:r>
        <w:t> :</w:t>
      </w:r>
      <w:r>
        <w:tab/>
      </w:r>
      <w:r w:rsidRPr="002E0375">
        <w:t>regroupe les principes et techniques pour traiter, stocker, récupérer, manipuler et contrôler l'accès à l'information permettant aux utilisateurs de trouver l'information dont ils ont besoin (</w:t>
      </w:r>
      <w:r w:rsidRPr="00886163">
        <w:t>Society of American Archivists [s. d.]</w:t>
      </w:r>
      <w:r w:rsidRPr="002E0375">
        <w:t>)</w:t>
      </w:r>
    </w:p>
    <w:p w14:paraId="7ACBFB29" w14:textId="77777777" w:rsidR="00624ED1" w:rsidRPr="006627E5" w:rsidRDefault="00624ED1" w:rsidP="00624ED1">
      <w:pPr>
        <w:spacing w:before="60"/>
        <w:ind w:left="3402" w:hanging="3402"/>
      </w:pPr>
      <w:r w:rsidRPr="006627E5">
        <w:t xml:space="preserve">KM = </w:t>
      </w:r>
      <w:r w:rsidRPr="00403083">
        <w:rPr>
          <w:i/>
        </w:rPr>
        <w:t>Knowledge management</w:t>
      </w:r>
      <w:r>
        <w:t> :</w:t>
      </w:r>
      <w:r>
        <w:tab/>
        <w:t>« </w:t>
      </w:r>
      <w:r w:rsidRPr="000D6C09">
        <w:t>ensemble de modes d'organisation visant à créer, collecter, organiser, stocker, di</w:t>
      </w:r>
      <w:r>
        <w:t>ffuser, utiliser et transférer »</w:t>
      </w:r>
      <w:r w:rsidRPr="000D6C09">
        <w:t xml:space="preserve"> (Cigref 2000, p. 12) les connaissances (documents ou expériences des collaborateurs) dans une organisation</w:t>
      </w:r>
    </w:p>
    <w:p w14:paraId="7E6F5B23" w14:textId="77777777" w:rsidR="00624ED1" w:rsidRDefault="00624ED1" w:rsidP="00624ED1">
      <w:pPr>
        <w:spacing w:before="60"/>
        <w:ind w:left="3402" w:hanging="3402"/>
      </w:pPr>
      <w:r w:rsidRPr="006627E5">
        <w:t xml:space="preserve">NM = </w:t>
      </w:r>
      <w:r w:rsidRPr="00403083">
        <w:rPr>
          <w:i/>
        </w:rPr>
        <w:t>Network management</w:t>
      </w:r>
      <w:r>
        <w:t> :</w:t>
      </w:r>
      <w:r>
        <w:tab/>
        <w:t>« </w:t>
      </w:r>
      <w:r w:rsidRPr="00FA42EC">
        <w:t>ensemble des disciplines avec une orientation outils, qui permettent de conceptualiser, déployer et développer les environnements de réseaux sociaux</w:t>
      </w:r>
      <w:r>
        <w:t> » (Perrein 2011b)</w:t>
      </w:r>
    </w:p>
    <w:p w14:paraId="3BFF1FC6" w14:textId="5C295DF4" w:rsidR="00253E78" w:rsidRDefault="00253E78" w:rsidP="00624ED1">
      <w:pPr>
        <w:pStyle w:val="Titre2"/>
        <w:rPr>
          <w:lang w:val="en-US"/>
        </w:rPr>
      </w:pPr>
      <w:r w:rsidRPr="00253E78">
        <w:rPr>
          <w:lang w:val="en-US"/>
        </w:rPr>
        <w:t>Actifs informationnels</w:t>
      </w:r>
    </w:p>
    <w:p w14:paraId="3A064C22" w14:textId="1E2D6E69" w:rsidR="00253E78" w:rsidRPr="00253E78" w:rsidRDefault="00253E78" w:rsidP="00253E78">
      <w:pPr>
        <w:pStyle w:val="CorpsTexte"/>
        <w:rPr>
          <w:lang w:val="en-US"/>
        </w:rPr>
      </w:pPr>
      <w:r w:rsidRPr="00253E78">
        <w:rPr>
          <w:lang w:val="en-US"/>
        </w:rPr>
        <w:t>“(…) An asset is any data, device, or other component of the environment that supports information-related activities. (…) Assets should be protected from illicit access, use, disclosure, alteration, destruction, and/or theft, resulting in loss to the organization” (InterPARES, 2018</w:t>
      </w:r>
      <w:r>
        <w:rPr>
          <w:lang w:val="en-US"/>
        </w:rPr>
        <w:t>c</w:t>
      </w:r>
      <w:r w:rsidRPr="00253E78">
        <w:rPr>
          <w:lang w:val="en-US"/>
        </w:rPr>
        <w:t>)</w:t>
      </w:r>
    </w:p>
    <w:p w14:paraId="110848AD" w14:textId="4B274140" w:rsidR="00624ED1" w:rsidRPr="00495697" w:rsidRDefault="00624ED1" w:rsidP="00624ED1">
      <w:pPr>
        <w:pStyle w:val="Titre2"/>
        <w:rPr>
          <w:lang w:val="en-US"/>
        </w:rPr>
      </w:pPr>
      <w:r w:rsidRPr="00495697">
        <w:rPr>
          <w:lang w:val="en-US"/>
        </w:rPr>
        <w:t>Gouvernance des données</w:t>
      </w:r>
    </w:p>
    <w:p w14:paraId="05D8CB2D" w14:textId="77777777" w:rsidR="00624ED1" w:rsidRPr="00495697" w:rsidRDefault="00624ED1" w:rsidP="00624ED1">
      <w:pPr>
        <w:pStyle w:val="CorpsTexte"/>
        <w:rPr>
          <w:lang w:val="en-US"/>
        </w:rPr>
      </w:pPr>
      <w:r w:rsidRPr="00495697">
        <w:rPr>
          <w:lang w:val="en-US"/>
        </w:rPr>
        <w:t>« Data governance is a newer, hybrid quality control discipline that includes elements of data quality, data management, IG policy development, business process improvement, and compliance and risk management. » (Smallwood 2014b, p. 16)</w:t>
      </w:r>
    </w:p>
    <w:p w14:paraId="68F724E8" w14:textId="77777777" w:rsidR="00624ED1" w:rsidRPr="00495697" w:rsidRDefault="00624ED1" w:rsidP="00624ED1">
      <w:pPr>
        <w:pStyle w:val="Titre2"/>
        <w:rPr>
          <w:lang w:val="en-US"/>
        </w:rPr>
      </w:pPr>
      <w:r w:rsidRPr="00495697">
        <w:rPr>
          <w:lang w:val="en-US"/>
        </w:rPr>
        <w:t>Gouvernance de l’information</w:t>
      </w:r>
    </w:p>
    <w:p w14:paraId="6C4FD4E2" w14:textId="77777777" w:rsidR="00624ED1" w:rsidRDefault="00624ED1" w:rsidP="00624ED1">
      <w:pPr>
        <w:pStyle w:val="CorpsTexte"/>
      </w:pPr>
      <w:r w:rsidRPr="00495697">
        <w:rPr>
          <w:lang w:val="en-US"/>
        </w:rPr>
        <w:t xml:space="preserve">« IG is a subset of corporate governance, and includes key concepts from records management, content management, IT and data governance, information security, data privacy, risk management, litigation readiness, regulatory compliance, long-term digital preservation, and even business intelligence. » </w:t>
      </w:r>
      <w:r>
        <w:t>(Smallwood 2014b, p. 5)</w:t>
      </w:r>
    </w:p>
    <w:p w14:paraId="16A937A2" w14:textId="77777777" w:rsidR="00624ED1" w:rsidRDefault="00624ED1" w:rsidP="00624ED1">
      <w:pPr>
        <w:pStyle w:val="Titre2"/>
      </w:pPr>
      <w:r>
        <w:t>En résumé</w:t>
      </w:r>
    </w:p>
    <w:p w14:paraId="74C80C07" w14:textId="77777777" w:rsidR="00624ED1" w:rsidRDefault="00624ED1" w:rsidP="00624ED1">
      <w:pPr>
        <w:pStyle w:val="CorpsTexte"/>
      </w:pPr>
      <w:r>
        <w:t>Smallwood résume les différences entre les gouvernances (informationnelle, des données, et IT), ainsi :</w:t>
      </w:r>
    </w:p>
    <w:p w14:paraId="39826201" w14:textId="77777777" w:rsidR="00624ED1" w:rsidRPr="00403083" w:rsidRDefault="00624ED1" w:rsidP="00624ED1">
      <w:pPr>
        <w:pStyle w:val="Citation"/>
        <w:rPr>
          <w:lang w:val="en"/>
        </w:rPr>
      </w:pPr>
      <w:r w:rsidRPr="00495697">
        <w:rPr>
          <w:lang w:val="en-US"/>
        </w:rPr>
        <w:lastRenderedPageBreak/>
        <w:t>« </w:t>
      </w:r>
      <w:r w:rsidRPr="00403083">
        <w:rPr>
          <w:lang w:val="en"/>
        </w:rPr>
        <w:t>IG consists of the overarching polices and processes to optimize and leverage information while keeping it secure and meeting legal and privacy obligations in alignment with stated organizational business objectives. IT governance consists of following established frameworks and best practices to gain the most leverage and benefit out of IT investments and support accomplishment of business objectives.</w:t>
      </w:r>
    </w:p>
    <w:p w14:paraId="59F684C6" w14:textId="77777777" w:rsidR="00624ED1" w:rsidRDefault="00624ED1" w:rsidP="00624ED1">
      <w:pPr>
        <w:pStyle w:val="Citation"/>
      </w:pPr>
      <w:r w:rsidRPr="00403083">
        <w:rPr>
          <w:lang w:val="en"/>
        </w:rPr>
        <w:t>Data governance consists of the processes, methods, tools, and techniques to ensure that data is of high quality, reliable, and unique (not duplicated), so that downstream uses in reports and databases are more trusted and accurate. Master data management (MDM) tools can assist in this effort.</w:t>
      </w:r>
      <w:r w:rsidRPr="00495697">
        <w:rPr>
          <w:lang w:val="en-US"/>
        </w:rPr>
        <w:t xml:space="preserve"> » </w:t>
      </w:r>
      <w:r>
        <w:t>(Smallwood 2014a)</w:t>
      </w:r>
    </w:p>
    <w:p w14:paraId="6150738C" w14:textId="77777777" w:rsidR="00624ED1" w:rsidRDefault="00624ED1" w:rsidP="00624ED1">
      <w:pPr>
        <w:pStyle w:val="Titre1"/>
        <w:keepNext/>
      </w:pPr>
      <w:r>
        <w:t>Périmètre de la gouvernance</w:t>
      </w:r>
    </w:p>
    <w:p w14:paraId="666DB6F8" w14:textId="4488E4F3" w:rsidR="00624ED1" w:rsidRDefault="00624ED1" w:rsidP="00624ED1">
      <w:pPr>
        <w:pStyle w:val="CorpsTexte"/>
      </w:pPr>
      <w:r>
        <w:rPr>
          <w:noProof/>
          <w:lang w:val="fr-CH" w:eastAsia="fr-CH"/>
        </w:rPr>
        <w:drawing>
          <wp:inline distT="0" distB="0" distL="0" distR="0" wp14:anchorId="52348ED0" wp14:editId="673DAFA9">
            <wp:extent cx="5764530" cy="4246245"/>
            <wp:effectExtent l="0" t="0" r="7620" b="1905"/>
            <wp:docPr id="9" name="Image 9" descr="IG_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G_Initiativ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4530" cy="4246245"/>
                    </a:xfrm>
                    <a:prstGeom prst="rect">
                      <a:avLst/>
                    </a:prstGeom>
                    <a:noFill/>
                    <a:ln>
                      <a:noFill/>
                    </a:ln>
                  </pic:spPr>
                </pic:pic>
              </a:graphicData>
            </a:graphic>
          </wp:inline>
        </w:drawing>
      </w:r>
    </w:p>
    <w:p w14:paraId="1A1144A1" w14:textId="77777777" w:rsidR="00624ED1" w:rsidRDefault="00624ED1" w:rsidP="00624ED1">
      <w:pPr>
        <w:pStyle w:val="CorpsTexte"/>
        <w:spacing w:before="0" w:after="240"/>
        <w:jc w:val="right"/>
      </w:pPr>
      <w:r w:rsidRPr="00C710B0">
        <w:rPr>
          <w:sz w:val="20"/>
        </w:rPr>
        <w:t>(</w:t>
      </w:r>
      <w:r>
        <w:rPr>
          <w:sz w:val="20"/>
        </w:rPr>
        <w:t>Information Governance Initiative</w:t>
      </w:r>
      <w:r w:rsidRPr="00C710B0">
        <w:rPr>
          <w:sz w:val="20"/>
        </w:rPr>
        <w:t xml:space="preserve"> 2018)</w:t>
      </w:r>
    </w:p>
    <w:p w14:paraId="14D33C31" w14:textId="77777777" w:rsidR="001339D9" w:rsidRDefault="001339D9" w:rsidP="001339D9">
      <w:pPr>
        <w:pStyle w:val="Titre1"/>
        <w:spacing w:after="0"/>
      </w:pPr>
      <w:r>
        <w:t>Normes et standards</w:t>
      </w:r>
    </w:p>
    <w:p w14:paraId="06B8DE2C" w14:textId="77777777" w:rsidR="001339D9" w:rsidRPr="00CA3591" w:rsidRDefault="001339D9" w:rsidP="001339D9">
      <w:pPr>
        <w:spacing w:after="360"/>
        <w:rPr>
          <w:sz w:val="16"/>
          <w:szCs w:val="16"/>
        </w:rPr>
      </w:pPr>
    </w:p>
    <w:p w14:paraId="7D300490" w14:textId="77777777" w:rsidR="001339D9" w:rsidRDefault="001339D9" w:rsidP="001339D9">
      <w:pPr>
        <w:pStyle w:val="Titre2"/>
        <w:pBdr>
          <w:top w:val="single" w:sz="4" w:space="1" w:color="auto"/>
          <w:left w:val="single" w:sz="4" w:space="4" w:color="auto"/>
          <w:bottom w:val="single" w:sz="4" w:space="1" w:color="auto"/>
          <w:right w:val="single" w:sz="4" w:space="4" w:color="auto"/>
        </w:pBdr>
        <w:shd w:val="clear" w:color="auto" w:fill="E7E6E6"/>
      </w:pPr>
      <w:r>
        <w:t>Normes et standards : quelles différences ?</w:t>
      </w:r>
    </w:p>
    <w:p w14:paraId="362C0C90" w14:textId="77777777" w:rsidR="001339D9" w:rsidRDefault="001339D9" w:rsidP="001339D9">
      <w:pPr>
        <w:pStyle w:val="CorpsTexte"/>
        <w:pBdr>
          <w:top w:val="single" w:sz="4" w:space="1" w:color="auto"/>
          <w:left w:val="single" w:sz="4" w:space="4" w:color="auto"/>
          <w:bottom w:val="single" w:sz="4" w:space="1" w:color="auto"/>
          <w:right w:val="single" w:sz="4" w:space="4" w:color="auto"/>
        </w:pBdr>
        <w:shd w:val="clear" w:color="auto" w:fill="E7E6E6"/>
      </w:pPr>
      <w:r>
        <w:t xml:space="preserve">Une </w:t>
      </w:r>
      <w:r w:rsidRPr="00CD06D2">
        <w:rPr>
          <w:b/>
        </w:rPr>
        <w:t>norme</w:t>
      </w:r>
      <w:r>
        <w:t xml:space="preserve"> est un « document, établi par consensus et approuvé par un organisme reconnu, qui fournit, pour des usages communs et répétés, des règles, des lignes directrices ou des caractéristiques, pour des activités ou leurs résultats, garantissant un niveau d'ordre optimal dans un contexte donné » (</w:t>
      </w:r>
      <w:r w:rsidRPr="00CD06D2">
        <w:t>Organisation internationale de normalisation</w:t>
      </w:r>
      <w:r>
        <w:t xml:space="preserve"> 2004, p. 12)</w:t>
      </w:r>
    </w:p>
    <w:p w14:paraId="52EABAB7" w14:textId="77777777" w:rsidR="001339D9" w:rsidRDefault="001339D9" w:rsidP="001339D9">
      <w:pPr>
        <w:pStyle w:val="CorpsTexte"/>
        <w:pBdr>
          <w:top w:val="single" w:sz="4" w:space="1" w:color="auto"/>
          <w:left w:val="single" w:sz="4" w:space="4" w:color="auto"/>
          <w:bottom w:val="single" w:sz="4" w:space="1" w:color="auto"/>
          <w:right w:val="single" w:sz="4" w:space="4" w:color="auto"/>
        </w:pBdr>
        <w:shd w:val="clear" w:color="auto" w:fill="E7E6E6"/>
      </w:pPr>
      <w:r w:rsidRPr="00FF38ED">
        <w:rPr>
          <w:b/>
        </w:rPr>
        <w:t>Exemples d’organisme reconnu :</w:t>
      </w:r>
      <w:r>
        <w:t xml:space="preserve"> </w:t>
      </w:r>
      <w:r w:rsidRPr="00CF52B8">
        <w:t>en Europe</w:t>
      </w:r>
      <w:r>
        <w:t>, le</w:t>
      </w:r>
      <w:r w:rsidRPr="00CF52B8">
        <w:t xml:space="preserve"> Comité européen de normalisation </w:t>
      </w:r>
      <w:r>
        <w:t>(</w:t>
      </w:r>
      <w:r w:rsidRPr="00CF52B8">
        <w:t>CEN</w:t>
      </w:r>
      <w:r>
        <w:t>) ;</w:t>
      </w:r>
      <w:r w:rsidRPr="00CF52B8">
        <w:t xml:space="preserve"> en </w:t>
      </w:r>
      <w:r>
        <w:t xml:space="preserve">France, </w:t>
      </w:r>
      <w:r w:rsidRPr="00CF52B8">
        <w:t>l’</w:t>
      </w:r>
      <w:r w:rsidRPr="00FF38ED">
        <w:t xml:space="preserve">Association française de normalisation </w:t>
      </w:r>
      <w:r>
        <w:t>(</w:t>
      </w:r>
      <w:r w:rsidRPr="00CF52B8">
        <w:t>AFNOR</w:t>
      </w:r>
      <w:r>
        <w:t>) ;</w:t>
      </w:r>
      <w:r w:rsidRPr="00CF52B8">
        <w:t xml:space="preserve"> en Suisse</w:t>
      </w:r>
      <w:r>
        <w:t>,</w:t>
      </w:r>
      <w:r w:rsidRPr="00CF52B8">
        <w:t xml:space="preserve"> la </w:t>
      </w:r>
      <w:r w:rsidRPr="00FF38ED">
        <w:t xml:space="preserve">Schweizerische </w:t>
      </w:r>
      <w:r w:rsidRPr="00FF38ED">
        <w:lastRenderedPageBreak/>
        <w:t xml:space="preserve">Normen-Vereinigung </w:t>
      </w:r>
      <w:r>
        <w:t>(</w:t>
      </w:r>
      <w:r w:rsidRPr="00CF52B8">
        <w:t>SNV</w:t>
      </w:r>
      <w:r>
        <w:t>) ;</w:t>
      </w:r>
      <w:r w:rsidRPr="00CF52B8">
        <w:t xml:space="preserve"> ou encore en Tunisie</w:t>
      </w:r>
      <w:r>
        <w:t>,</w:t>
      </w:r>
      <w:r w:rsidRPr="00CF52B8">
        <w:t xml:space="preserve"> l’</w:t>
      </w:r>
      <w:r w:rsidRPr="00FF38ED">
        <w:t>Institut national de la normalisation et de la propriété industrielle (INNORPI)</w:t>
      </w:r>
      <w:r>
        <w:t>.</w:t>
      </w:r>
    </w:p>
    <w:p w14:paraId="1209E67C" w14:textId="77777777" w:rsidR="001339D9" w:rsidRDefault="001339D9" w:rsidP="001339D9">
      <w:pPr>
        <w:pStyle w:val="CorpsTexte"/>
        <w:pBdr>
          <w:top w:val="single" w:sz="4" w:space="1" w:color="auto"/>
          <w:left w:val="single" w:sz="4" w:space="4" w:color="auto"/>
          <w:bottom w:val="single" w:sz="4" w:space="1" w:color="auto"/>
          <w:right w:val="single" w:sz="4" w:space="4" w:color="auto"/>
        </w:pBdr>
        <w:shd w:val="clear" w:color="auto" w:fill="E7E6E6"/>
      </w:pPr>
      <w:r>
        <w:t xml:space="preserve">Un </w:t>
      </w:r>
      <w:r w:rsidRPr="00CD06D2">
        <w:rPr>
          <w:b/>
        </w:rPr>
        <w:t>standard</w:t>
      </w:r>
      <w:r>
        <w:t xml:space="preserve"> est </w:t>
      </w:r>
      <w:r w:rsidRPr="008044D1">
        <w:t>«</w:t>
      </w:r>
      <w:r>
        <w:t> </w:t>
      </w:r>
      <w:r w:rsidRPr="008044D1">
        <w:t>l’ensemble de recommandations développées et préconisées par un groupe représentatif d’utilisateurs</w:t>
      </w:r>
      <w:r>
        <w:t> </w:t>
      </w:r>
      <w:r w:rsidRPr="008044D1">
        <w:t>» (</w:t>
      </w:r>
      <w:r>
        <w:t>Ministère de l’Éducation nationale et de la jeunesse</w:t>
      </w:r>
      <w:r w:rsidRPr="008044D1">
        <w:t xml:space="preserve"> 2012)</w:t>
      </w:r>
    </w:p>
    <w:p w14:paraId="20DBDB05" w14:textId="77777777" w:rsidR="001339D9" w:rsidRDefault="001339D9" w:rsidP="001339D9">
      <w:pPr>
        <w:pStyle w:val="CorpsTexte"/>
        <w:pBdr>
          <w:top w:val="single" w:sz="4" w:space="1" w:color="auto"/>
          <w:left w:val="single" w:sz="4" w:space="4" w:color="auto"/>
          <w:bottom w:val="single" w:sz="4" w:space="1" w:color="auto"/>
          <w:right w:val="single" w:sz="4" w:space="4" w:color="auto"/>
        </w:pBdr>
        <w:shd w:val="clear" w:color="auto" w:fill="E7E6E6"/>
      </w:pPr>
      <w:r>
        <w:t xml:space="preserve">Exemples de </w:t>
      </w:r>
      <w:r w:rsidRPr="00FF38ED">
        <w:t>groupe représentatif d’utilisateurs</w:t>
      </w:r>
      <w:r>
        <w:t> : a</w:t>
      </w:r>
      <w:r w:rsidRPr="00F256E7">
        <w:t xml:space="preserve">u niveau international, le World Wide Web Consortium </w:t>
      </w:r>
      <w:r>
        <w:t>(</w:t>
      </w:r>
      <w:r w:rsidRPr="00F256E7">
        <w:t>W3C</w:t>
      </w:r>
      <w:r>
        <w:t>)</w:t>
      </w:r>
      <w:r w:rsidRPr="00F256E7">
        <w:t xml:space="preserve">, l’Institute of Electrical and Electronics Engineers </w:t>
      </w:r>
      <w:r>
        <w:t>(</w:t>
      </w:r>
      <w:r w:rsidRPr="00F256E7">
        <w:t>IEEE</w:t>
      </w:r>
      <w:r>
        <w:t>)</w:t>
      </w:r>
      <w:r w:rsidRPr="00F256E7">
        <w:t xml:space="preserve"> ou encore l’Internet Engineering Task Force </w:t>
      </w:r>
      <w:r>
        <w:t>(</w:t>
      </w:r>
      <w:r w:rsidRPr="00F256E7">
        <w:t>IETF</w:t>
      </w:r>
      <w:r>
        <w:t>)</w:t>
      </w:r>
      <w:r w:rsidRPr="00F256E7">
        <w:t xml:space="preserve"> élaborent des standards.</w:t>
      </w:r>
    </w:p>
    <w:p w14:paraId="2D6E1C98" w14:textId="77777777" w:rsidR="001339D9" w:rsidRPr="00F124F4" w:rsidRDefault="001339D9" w:rsidP="001339D9">
      <w:pPr>
        <w:pStyle w:val="CorpsTexte"/>
        <w:pBdr>
          <w:top w:val="single" w:sz="4" w:space="1" w:color="auto"/>
          <w:left w:val="single" w:sz="4" w:space="4" w:color="auto"/>
          <w:bottom w:val="single" w:sz="4" w:space="1" w:color="auto"/>
          <w:right w:val="single" w:sz="4" w:space="4" w:color="auto"/>
        </w:pBdr>
        <w:shd w:val="clear" w:color="auto" w:fill="E7E6E6"/>
      </w:pPr>
      <w:r w:rsidRPr="00CD06D2">
        <w:t>La principale disparité résulte dans le fait qu’un standard est issu d’un processus réactif mené par un groupe d’utilisateurs, alors qu’une norme définit un référentiel créé par un organisme reconnu et officiel (Bergery, 2011).</w:t>
      </w:r>
    </w:p>
    <w:p w14:paraId="744BBB86" w14:textId="77777777" w:rsidR="001339D9" w:rsidRDefault="001339D9" w:rsidP="001339D9">
      <w:pPr>
        <w:pStyle w:val="Titre2"/>
      </w:pPr>
      <w:r>
        <w:br w:type="page"/>
      </w:r>
      <w:r>
        <w:lastRenderedPageBreak/>
        <w:t>Spécifique à la gouvernance de l’information</w:t>
      </w:r>
    </w:p>
    <w:p w14:paraId="1865E863" w14:textId="5619B60E" w:rsidR="001339D9" w:rsidRPr="007B147D" w:rsidRDefault="001339D9" w:rsidP="00423BDC">
      <w:pPr>
        <w:numPr>
          <w:ilvl w:val="0"/>
          <w:numId w:val="9"/>
        </w:numPr>
      </w:pPr>
      <w:r w:rsidRPr="00544F83">
        <w:rPr>
          <w:b/>
        </w:rPr>
        <w:t>ISO/DIS 24143 Information and documentation — Information Governance — Concept and principles :</w:t>
      </w:r>
      <w:r>
        <w:t xml:space="preserve"> </w:t>
      </w:r>
      <w:r w:rsidRPr="001339D9">
        <w:t>La norme vise à définir les concepts et principes relatifs à la gouvernance de l'information.</w:t>
      </w:r>
    </w:p>
    <w:p w14:paraId="1A9B90A2" w14:textId="77777777" w:rsidR="001339D9" w:rsidRDefault="001339D9" w:rsidP="001339D9">
      <w:pPr>
        <w:pStyle w:val="Titre2"/>
      </w:pPr>
      <w:r>
        <w:t>En lien avec la gouvernance de l’information</w:t>
      </w:r>
    </w:p>
    <w:p w14:paraId="23DE75C2" w14:textId="77777777" w:rsidR="001339D9" w:rsidRPr="00D745D0" w:rsidRDefault="001339D9" w:rsidP="00423BDC">
      <w:pPr>
        <w:keepLines/>
        <w:numPr>
          <w:ilvl w:val="0"/>
          <w:numId w:val="8"/>
        </w:numPr>
        <w:spacing w:before="120"/>
      </w:pPr>
      <w:r w:rsidRPr="00E61A71">
        <w:rPr>
          <w:b/>
        </w:rPr>
        <w:t>ISO 15489-1:2016 Information et documentation — Gestion des documents d’activité — Partie 1: Concepts et principes :</w:t>
      </w:r>
      <w:r>
        <w:t xml:space="preserve"> </w:t>
      </w:r>
      <w:r w:rsidRPr="00E61A71">
        <w:t>La norme détermine les concepts et les principes liés à la création, la capture et la gestion des documents d'activité.</w:t>
      </w:r>
    </w:p>
    <w:p w14:paraId="5DBDCF47" w14:textId="77777777" w:rsidR="001339D9" w:rsidRPr="00D745D0" w:rsidRDefault="001339D9" w:rsidP="00423BDC">
      <w:pPr>
        <w:keepLines/>
        <w:numPr>
          <w:ilvl w:val="0"/>
          <w:numId w:val="8"/>
        </w:numPr>
        <w:spacing w:before="120"/>
      </w:pPr>
      <w:r w:rsidRPr="00ED6E1B">
        <w:rPr>
          <w:b/>
        </w:rPr>
        <w:t>ISO 30300:2011 Information et documentation — Systèmes de gestion des documents d'activité — Principes essentiels et vocabulaire :</w:t>
      </w:r>
      <w:r>
        <w:t xml:space="preserve"> La norme « définit les termes et définitions qui s'appliquent aux normes relatives aux systèmes de gestion des documents d'activité (SGDA) et établit également les objectifs associés à l'utilisation d'un SGDA, fournit les principes, décrit une approche par processus et spécifie les rôles de la direction »".</w:t>
      </w:r>
    </w:p>
    <w:p w14:paraId="55C5B594" w14:textId="77777777" w:rsidR="001339D9" w:rsidRPr="00D745D0" w:rsidRDefault="001339D9" w:rsidP="00423BDC">
      <w:pPr>
        <w:keepLines/>
        <w:numPr>
          <w:ilvl w:val="0"/>
          <w:numId w:val="8"/>
        </w:numPr>
        <w:spacing w:before="120"/>
      </w:pPr>
      <w:r w:rsidRPr="00ED6E1B">
        <w:rPr>
          <w:b/>
        </w:rPr>
        <w:t>ISO 30301:2019 Information et documentation — Systèmes de gestion des documents d'activité — Exigences :</w:t>
      </w:r>
      <w:r>
        <w:t xml:space="preserve"> La norme « spécifie les exigences relatives à un système de gestion des documents d'activité (SGDA) visant à soutenir un organisme dans la réalisation de son mandat, de sa mission, de sa stratégie et de ses objectifs par le développement et la mise en œuvre d'une politique et d'objectifs relatifs aux documents des activités et donne des informations sur le mesurage et la surveillance des performances ».</w:t>
      </w:r>
    </w:p>
    <w:p w14:paraId="1CD3BFFE" w14:textId="77777777" w:rsidR="001339D9" w:rsidRPr="00D745D0" w:rsidRDefault="001339D9" w:rsidP="00423BDC">
      <w:pPr>
        <w:keepLines/>
        <w:numPr>
          <w:ilvl w:val="0"/>
          <w:numId w:val="8"/>
        </w:numPr>
        <w:spacing w:before="120"/>
      </w:pPr>
      <w:r w:rsidRPr="00ED6E1B">
        <w:rPr>
          <w:b/>
        </w:rPr>
        <w:t>ISO 30302:2015 Information et documentation — Système de gestion des documents d'activité — Lignes directrices de mise en œuvre :</w:t>
      </w:r>
      <w:r>
        <w:t xml:space="preserve"> La norme « fournit des lignes directrices pour la mise en œuvre d'un Système de Gestion des Documents d'Activité (SGDA) conforme à l'ISO 30301 ».</w:t>
      </w:r>
    </w:p>
    <w:p w14:paraId="027922DB" w14:textId="3AD0D075" w:rsidR="001339D9" w:rsidRDefault="001339D9" w:rsidP="00423BDC">
      <w:pPr>
        <w:keepLines/>
        <w:numPr>
          <w:ilvl w:val="0"/>
          <w:numId w:val="8"/>
        </w:numPr>
        <w:spacing w:before="120"/>
        <w:ind w:left="714" w:hanging="357"/>
      </w:pPr>
      <w:r w:rsidRPr="00C8514D">
        <w:rPr>
          <w:b/>
        </w:rPr>
        <w:t>ISO 38500 Technologies de l'information — Gouvernance des technologies de l'information pour l'entreprise :</w:t>
      </w:r>
      <w:r w:rsidRPr="00D745D0">
        <w:t xml:space="preserve"> La nome vise à fournir des principes directeurs sur l'utilisation efficace, efficiente et acceptable des technologies de l'information (TI) dans une organisation de tout type et de toute taille.</w:t>
      </w:r>
    </w:p>
    <w:p w14:paraId="77D9DF02" w14:textId="4311F40D" w:rsidR="001339D9" w:rsidRDefault="001339D9" w:rsidP="001339D9">
      <w:pPr>
        <w:pStyle w:val="Titre2"/>
      </w:pPr>
      <w:r w:rsidRPr="001339D9">
        <w:t xml:space="preserve">En lien avec la </w:t>
      </w:r>
      <w:r>
        <w:t xml:space="preserve">gestion des risques </w:t>
      </w:r>
      <w:r w:rsidRPr="001339D9">
        <w:t>information</w:t>
      </w:r>
      <w:r>
        <w:t>nels</w:t>
      </w:r>
    </w:p>
    <w:p w14:paraId="06714F79" w14:textId="77777777" w:rsidR="001339D9" w:rsidRPr="00E81B9E" w:rsidRDefault="001339D9" w:rsidP="00423BDC">
      <w:pPr>
        <w:keepLines/>
        <w:numPr>
          <w:ilvl w:val="0"/>
          <w:numId w:val="8"/>
        </w:numPr>
        <w:spacing w:before="120"/>
      </w:pPr>
      <w:r w:rsidRPr="00E81B9E">
        <w:rPr>
          <w:b/>
        </w:rPr>
        <w:t>ISO 18128:2014 Information et documentation — Evaluation du risque pour les processus et systèmes d'enregistrement :</w:t>
      </w:r>
      <w:r w:rsidRPr="00E81B9E">
        <w:t xml:space="preserve"> La norme « a pour objet d'aider les organismes à apprécier les risques liés aux processus et aux systèmes documentaires de manière qu'ils puissent s'assurer que les documents d'activité répondent aux besoins de gestion identifiés aussi longtemps que nécessaire ».</w:t>
      </w:r>
    </w:p>
    <w:p w14:paraId="2D3C401F" w14:textId="77777777" w:rsidR="00C04AD0" w:rsidRPr="00797F6C" w:rsidRDefault="00C04AD0" w:rsidP="00423BDC">
      <w:pPr>
        <w:numPr>
          <w:ilvl w:val="0"/>
          <w:numId w:val="8"/>
        </w:numPr>
      </w:pPr>
      <w:r w:rsidRPr="003F20FD">
        <w:rPr>
          <w:b/>
        </w:rPr>
        <w:t>ISO 27005:2011</w:t>
      </w:r>
      <w:r>
        <w:rPr>
          <w:b/>
        </w:rPr>
        <w:t xml:space="preserve"> </w:t>
      </w:r>
      <w:r w:rsidRPr="00C04AD0">
        <w:rPr>
          <w:b/>
        </w:rPr>
        <w:t>Technologies de l'information - Techniques de sécurité - Gestion des risques liés à la sécurité de l'information</w:t>
      </w:r>
      <w:r>
        <w:rPr>
          <w:b/>
        </w:rPr>
        <w:t> :</w:t>
      </w:r>
      <w:r>
        <w:t xml:space="preserve"> La norme s’intéresse à la g</w:t>
      </w:r>
      <w:r w:rsidRPr="00797F6C">
        <w:t>estion des risques liés</w:t>
      </w:r>
      <w:r>
        <w:t xml:space="preserve"> à la sécurité de l'information</w:t>
      </w:r>
      <w:r w:rsidRPr="00797F6C">
        <w:t xml:space="preserve"> </w:t>
      </w:r>
      <w:r>
        <w:t>dans une optique des technologies de l'information. Elle se base également sur la norme ISO 31000 :2018.</w:t>
      </w:r>
    </w:p>
    <w:p w14:paraId="5026F92A" w14:textId="4813C8A5" w:rsidR="001339D9" w:rsidRPr="00797F6C" w:rsidRDefault="001339D9" w:rsidP="00423BDC">
      <w:pPr>
        <w:numPr>
          <w:ilvl w:val="0"/>
          <w:numId w:val="8"/>
        </w:numPr>
      </w:pPr>
      <w:r w:rsidRPr="007C33F2">
        <w:rPr>
          <w:b/>
        </w:rPr>
        <w:t>ISO 31000:20</w:t>
      </w:r>
      <w:r>
        <w:rPr>
          <w:b/>
        </w:rPr>
        <w:t>18</w:t>
      </w:r>
      <w:r w:rsidR="00C04AD0">
        <w:rPr>
          <w:b/>
        </w:rPr>
        <w:t xml:space="preserve"> </w:t>
      </w:r>
      <w:r w:rsidR="00C04AD0" w:rsidRPr="00C04AD0">
        <w:rPr>
          <w:b/>
        </w:rPr>
        <w:t>Management du risque - Principes et lignes directrices</w:t>
      </w:r>
      <w:r>
        <w:rPr>
          <w:b/>
        </w:rPr>
        <w:t> :</w:t>
      </w:r>
      <w:r>
        <w:t xml:space="preserve"> Norme de référence pour tout ce qui concerne le m</w:t>
      </w:r>
      <w:r w:rsidRPr="00797F6C">
        <w:t>anagement du risque</w:t>
      </w:r>
      <w:r>
        <w:t>, elle en expose les principes et les lignes directrices.</w:t>
      </w:r>
    </w:p>
    <w:p w14:paraId="0231B287" w14:textId="5E9F11A3" w:rsidR="001339D9" w:rsidRDefault="001339D9" w:rsidP="00423BDC">
      <w:pPr>
        <w:numPr>
          <w:ilvl w:val="0"/>
          <w:numId w:val="8"/>
        </w:numPr>
      </w:pPr>
      <w:r w:rsidRPr="003F20FD">
        <w:rPr>
          <w:b/>
        </w:rPr>
        <w:t>ISO 31010:2009</w:t>
      </w:r>
      <w:r w:rsidR="00C04AD0">
        <w:rPr>
          <w:b/>
        </w:rPr>
        <w:t xml:space="preserve"> </w:t>
      </w:r>
      <w:r w:rsidR="00C04AD0" w:rsidRPr="00C04AD0">
        <w:rPr>
          <w:b/>
        </w:rPr>
        <w:t>Gestion des risques -Techniques d'évaluation des risques</w:t>
      </w:r>
      <w:r>
        <w:rPr>
          <w:b/>
        </w:rPr>
        <w:t> :</w:t>
      </w:r>
      <w:r w:rsidRPr="00797F6C">
        <w:t xml:space="preserve"> </w:t>
      </w:r>
      <w:r>
        <w:t>Basée sur la norme précédente, elle développe les t</w:t>
      </w:r>
      <w:r w:rsidRPr="00797F6C">
        <w:t>ech</w:t>
      </w:r>
      <w:r>
        <w:t>niques d'évaluation des risques, toujours dans une optique générique.</w:t>
      </w:r>
    </w:p>
    <w:p w14:paraId="1774878A" w14:textId="121087A0" w:rsidR="00F44270" w:rsidRDefault="00F44270" w:rsidP="00F44270">
      <w:pPr>
        <w:pStyle w:val="Titre1"/>
      </w:pPr>
      <w:r>
        <w:t>Méthodologie</w:t>
      </w:r>
    </w:p>
    <w:p w14:paraId="742A77FD" w14:textId="0F1A8451" w:rsidR="00F44270" w:rsidRDefault="00F44270" w:rsidP="00F44270">
      <w:pPr>
        <w:pStyle w:val="Titre2"/>
      </w:pPr>
      <w:r w:rsidRPr="00F44270">
        <w:t>Audit informationnel</w:t>
      </w:r>
    </w:p>
    <w:p w14:paraId="07CE27C0" w14:textId="77777777" w:rsidR="00F44270" w:rsidRPr="00F44270" w:rsidRDefault="00F44270" w:rsidP="00F44270">
      <w:pPr>
        <w:spacing w:before="120"/>
        <w:rPr>
          <w:lang w:val="fr-CH"/>
        </w:rPr>
      </w:pPr>
      <w:r w:rsidRPr="00F44270">
        <w:rPr>
          <w:lang w:val="en-US"/>
        </w:rPr>
        <w:lastRenderedPageBreak/>
        <w:t>“‘</w:t>
      </w:r>
      <w:r w:rsidRPr="00F44270">
        <w:rPr>
          <w:i/>
          <w:lang w:val="en-US"/>
        </w:rPr>
        <w:t xml:space="preserve">a </w:t>
      </w:r>
      <w:r w:rsidRPr="00F44270">
        <w:rPr>
          <w:i/>
          <w:color w:val="7030A0"/>
          <w:lang w:val="en-US"/>
        </w:rPr>
        <w:t>systematic evaluation</w:t>
      </w:r>
      <w:r w:rsidRPr="00F44270">
        <w:rPr>
          <w:i/>
          <w:lang w:val="en-US"/>
        </w:rPr>
        <w:t xml:space="preserve"> of </w:t>
      </w:r>
      <w:r w:rsidRPr="00F44270">
        <w:rPr>
          <w:i/>
          <w:color w:val="00B050"/>
          <w:lang w:val="en-US"/>
        </w:rPr>
        <w:t>information use, resources and flows</w:t>
      </w:r>
      <w:r w:rsidRPr="00F44270">
        <w:rPr>
          <w:i/>
          <w:lang w:val="en-US"/>
        </w:rPr>
        <w:t xml:space="preserve">, with verification by reference to both </w:t>
      </w:r>
      <w:r w:rsidRPr="00F44270">
        <w:rPr>
          <w:i/>
          <w:color w:val="FF0000"/>
          <w:lang w:val="en-US"/>
        </w:rPr>
        <w:t>people and existing documents</w:t>
      </w:r>
      <w:r w:rsidRPr="00F44270">
        <w:rPr>
          <w:i/>
          <w:lang w:val="en-US"/>
        </w:rPr>
        <w:t xml:space="preserve">, in order to establish </w:t>
      </w:r>
      <w:r w:rsidRPr="00F44270">
        <w:rPr>
          <w:i/>
          <w:color w:val="0070C0"/>
          <w:lang w:val="en-US"/>
        </w:rPr>
        <w:t>the extent to which they are contributing to an organisation's objectives</w:t>
      </w:r>
      <w:r w:rsidRPr="00F44270">
        <w:rPr>
          <w:i/>
          <w:lang w:val="en-US"/>
        </w:rPr>
        <w:t xml:space="preserve">'. </w:t>
      </w:r>
      <w:r w:rsidRPr="006D7B20">
        <w:rPr>
          <w:i/>
          <w:lang w:val="fr-CH"/>
        </w:rPr>
        <w:t>(ASLIB IRM Network, London)</w:t>
      </w:r>
      <w:r w:rsidRPr="006D7B20">
        <w:rPr>
          <w:lang w:val="fr-CH"/>
        </w:rPr>
        <w:t>” (Henczel et Robertson 2015)</w:t>
      </w:r>
    </w:p>
    <w:p w14:paraId="0FAB175E" w14:textId="2CD77711" w:rsidR="00F44270" w:rsidRDefault="00F44270" w:rsidP="00F44270">
      <w:pPr>
        <w:pStyle w:val="Titre3"/>
      </w:pPr>
      <w:r w:rsidRPr="00F44270">
        <w:t>Composants de l’audit informationnel</w:t>
      </w:r>
    </w:p>
    <w:p w14:paraId="0E32574A" w14:textId="77777777" w:rsidR="00F44270" w:rsidRPr="00F44270" w:rsidRDefault="00F44270" w:rsidP="00F44270">
      <w:r w:rsidRPr="00F44270">
        <w:t>Henczel et Robertson (2015) identifient trois composants de l’audit informationnel :</w:t>
      </w:r>
    </w:p>
    <w:p w14:paraId="3C4B5B8B" w14:textId="77777777" w:rsidR="00F44270" w:rsidRPr="00F44270" w:rsidRDefault="00F44270" w:rsidP="00423BDC">
      <w:pPr>
        <w:numPr>
          <w:ilvl w:val="0"/>
          <w:numId w:val="26"/>
        </w:numPr>
      </w:pPr>
      <w:r w:rsidRPr="00F44270">
        <w:t>Examen du processus :</w:t>
      </w:r>
    </w:p>
    <w:p w14:paraId="3203BD09" w14:textId="77777777" w:rsidR="00F44270" w:rsidRPr="00F44270" w:rsidRDefault="00F44270" w:rsidP="00423BDC">
      <w:pPr>
        <w:numPr>
          <w:ilvl w:val="1"/>
          <w:numId w:val="27"/>
        </w:numPr>
      </w:pPr>
      <w:r w:rsidRPr="00F44270">
        <w:t>Analyse des tâches - actions d'information (création, accès, utilisation, transfert, stockage), processus cognitifs, relations avec d'autres tâches.</w:t>
      </w:r>
    </w:p>
    <w:p w14:paraId="5477DE6E" w14:textId="77777777" w:rsidR="00F44270" w:rsidRPr="00F44270" w:rsidRDefault="00F44270" w:rsidP="00423BDC">
      <w:pPr>
        <w:numPr>
          <w:ilvl w:val="1"/>
          <w:numId w:val="27"/>
        </w:numPr>
      </w:pPr>
      <w:r w:rsidRPr="00F44270">
        <w:t>Déconstruction de la tâche - identifier les priorités, les flux et les processus de décision en matière d'information ; identifier les interactions et les dépendances entre personnes et entre personnes et systèmes.</w:t>
      </w:r>
    </w:p>
    <w:p w14:paraId="159D0BD6" w14:textId="77777777" w:rsidR="00F44270" w:rsidRPr="00F44270" w:rsidRDefault="00F44270" w:rsidP="00423BDC">
      <w:pPr>
        <w:numPr>
          <w:ilvl w:val="0"/>
          <w:numId w:val="26"/>
        </w:numPr>
      </w:pPr>
      <w:r w:rsidRPr="00F44270">
        <w:t>Contenu de l'information :</w:t>
      </w:r>
    </w:p>
    <w:p w14:paraId="44DBDD78" w14:textId="77777777" w:rsidR="00F44270" w:rsidRPr="00F44270" w:rsidRDefault="00F44270" w:rsidP="00423BDC">
      <w:pPr>
        <w:numPr>
          <w:ilvl w:val="1"/>
          <w:numId w:val="28"/>
        </w:numPr>
      </w:pPr>
      <w:r w:rsidRPr="00F44270">
        <w:t>Identification de ce qui est détenu, de ce qui est nécessaire mais non disponible, de ce qui est disponible mais non accessible là où c'est nécessaire.</w:t>
      </w:r>
    </w:p>
    <w:p w14:paraId="41CC1E6F" w14:textId="77777777" w:rsidR="00F44270" w:rsidRPr="00F44270" w:rsidRDefault="00F44270" w:rsidP="00423BDC">
      <w:pPr>
        <w:numPr>
          <w:ilvl w:val="1"/>
          <w:numId w:val="28"/>
        </w:numPr>
      </w:pPr>
      <w:r w:rsidRPr="00F44270">
        <w:t>Évaluation de l'adéquation aux besoins</w:t>
      </w:r>
    </w:p>
    <w:p w14:paraId="4EB859FF" w14:textId="77777777" w:rsidR="00F44270" w:rsidRPr="00F44270" w:rsidRDefault="00F44270" w:rsidP="00423BDC">
      <w:pPr>
        <w:numPr>
          <w:ilvl w:val="0"/>
          <w:numId w:val="26"/>
        </w:numPr>
      </w:pPr>
      <w:r w:rsidRPr="00F44270">
        <w:t>Capacité et comportement :</w:t>
      </w:r>
    </w:p>
    <w:p w14:paraId="11616508" w14:textId="77777777" w:rsidR="00F44270" w:rsidRPr="00F44270" w:rsidRDefault="00F44270" w:rsidP="00423BDC">
      <w:pPr>
        <w:numPr>
          <w:ilvl w:val="1"/>
          <w:numId w:val="29"/>
        </w:numPr>
      </w:pPr>
      <w:r w:rsidRPr="00F44270">
        <w:t>Identification des lacunes en matière de compétences liées à la création, la découverte, la fourniture, l'accès, le transfert, l'utilisation et le stockage de l'information.</w:t>
      </w:r>
    </w:p>
    <w:p w14:paraId="606D8BC4" w14:textId="77777777" w:rsidR="00F44270" w:rsidRPr="00F44270" w:rsidRDefault="00F44270" w:rsidP="00423BDC">
      <w:pPr>
        <w:numPr>
          <w:ilvl w:val="1"/>
          <w:numId w:val="29"/>
        </w:numPr>
      </w:pPr>
      <w:r w:rsidRPr="00F44270">
        <w:t>Identification des comportements qui influencent la création, la découverte, la fourniture, l'accès, le transfert, l'utilisation et le stockage efficaces de l'information.</w:t>
      </w:r>
    </w:p>
    <w:p w14:paraId="43287D6E" w14:textId="77777777" w:rsidR="00F44270" w:rsidRPr="00F44270" w:rsidRDefault="00F44270" w:rsidP="00F44270">
      <w:pPr>
        <w:pStyle w:val="Titre3"/>
      </w:pPr>
      <w:r w:rsidRPr="00F44270">
        <w:t>Approches</w:t>
      </w:r>
    </w:p>
    <w:p w14:paraId="42A543B0" w14:textId="77777777" w:rsidR="00F44270" w:rsidRPr="00F44270" w:rsidRDefault="00F44270" w:rsidP="00F44270">
      <w:pPr>
        <w:pStyle w:val="CorpsTexte"/>
      </w:pPr>
      <w:r w:rsidRPr="00F44270">
        <w:t>Griffiths (2012) note un ensemble minimal d'activités liées à l'audit informationnel :</w:t>
      </w:r>
    </w:p>
    <w:p w14:paraId="592283D0" w14:textId="77777777" w:rsidR="00F44270" w:rsidRPr="00F44270" w:rsidRDefault="00F44270" w:rsidP="00423BDC">
      <w:pPr>
        <w:pStyle w:val="CorpsTexte"/>
        <w:numPr>
          <w:ilvl w:val="0"/>
          <w:numId w:val="25"/>
        </w:numPr>
      </w:pPr>
      <w:r w:rsidRPr="00F44270">
        <w:t>Vérifier</w:t>
      </w:r>
    </w:p>
    <w:p w14:paraId="1C27AA57" w14:textId="77777777" w:rsidR="00F44270" w:rsidRPr="00F44270" w:rsidRDefault="00F44270" w:rsidP="00423BDC">
      <w:pPr>
        <w:pStyle w:val="CorpsTexte"/>
        <w:numPr>
          <w:ilvl w:val="1"/>
          <w:numId w:val="25"/>
        </w:numPr>
      </w:pPr>
      <w:r w:rsidRPr="00F44270">
        <w:t>l'authenticité et l'exactitude des informations ajoutées au système d'information de l'organisme ;</w:t>
      </w:r>
    </w:p>
    <w:p w14:paraId="38BE9509" w14:textId="77777777" w:rsidR="00F44270" w:rsidRPr="00F44270" w:rsidRDefault="00F44270" w:rsidP="00423BDC">
      <w:pPr>
        <w:pStyle w:val="CorpsTexte"/>
        <w:numPr>
          <w:ilvl w:val="1"/>
          <w:numId w:val="25"/>
        </w:numPr>
      </w:pPr>
      <w:r w:rsidRPr="00F44270">
        <w:t>la provenance des informations au sein d'un système ;</w:t>
      </w:r>
    </w:p>
    <w:p w14:paraId="0268546A" w14:textId="77777777" w:rsidR="00F44270" w:rsidRPr="00F44270" w:rsidRDefault="00F44270" w:rsidP="00423BDC">
      <w:pPr>
        <w:pStyle w:val="CorpsTexte"/>
        <w:numPr>
          <w:ilvl w:val="1"/>
          <w:numId w:val="25"/>
        </w:numPr>
      </w:pPr>
      <w:r w:rsidRPr="00F44270">
        <w:t>le bon fonctionnement du système de stockage et de récupération des informations ;</w:t>
      </w:r>
    </w:p>
    <w:p w14:paraId="777B0753" w14:textId="77777777" w:rsidR="00F44270" w:rsidRPr="00F44270" w:rsidRDefault="00F44270" w:rsidP="00423BDC">
      <w:pPr>
        <w:pStyle w:val="CorpsTexte"/>
        <w:numPr>
          <w:ilvl w:val="0"/>
          <w:numId w:val="25"/>
        </w:numPr>
      </w:pPr>
      <w:r w:rsidRPr="00F44270">
        <w:t>Évaluer</w:t>
      </w:r>
    </w:p>
    <w:p w14:paraId="45D4EA6C" w14:textId="77777777" w:rsidR="00F44270" w:rsidRPr="00F44270" w:rsidRDefault="00F44270" w:rsidP="00423BDC">
      <w:pPr>
        <w:pStyle w:val="CorpsTexte"/>
        <w:numPr>
          <w:ilvl w:val="1"/>
          <w:numId w:val="25"/>
        </w:numPr>
      </w:pPr>
      <w:r w:rsidRPr="00F44270">
        <w:rPr>
          <w:b/>
        </w:rPr>
        <w:t>la valeur économique des ressources d'information dans les systèmes de l’organisme</w:t>
      </w:r>
      <w:r w:rsidRPr="00F44270">
        <w:t xml:space="preserve"> et en déduire une valeur financière qui peut (ou non) apparaître dans les comptes de l'organisation - ce qui implique que l'application d'une valeur financière réelle ou théorique crée un actif qui implique certaines normes de gestion de l'information, et aussi que cette valeur est au moins partiellement créée par le contexte fourni par le propriétaire de l'entreprise ou le titulaire de la licence ;</w:t>
      </w:r>
    </w:p>
    <w:p w14:paraId="143217F7" w14:textId="77777777" w:rsidR="00F44270" w:rsidRPr="00F44270" w:rsidRDefault="00F44270" w:rsidP="00423BDC">
      <w:pPr>
        <w:pStyle w:val="CorpsTexte"/>
        <w:numPr>
          <w:ilvl w:val="1"/>
          <w:numId w:val="25"/>
        </w:numPr>
      </w:pPr>
      <w:r w:rsidRPr="00F44270">
        <w:rPr>
          <w:b/>
        </w:rPr>
        <w:t>la valeur informationnelle du contenu des systèmes de l’organisme</w:t>
      </w:r>
      <w:r w:rsidRPr="00F44270">
        <w:t xml:space="preserve"> - c'est-à-dire vérifier non seulement l'intégrité physique de l'information, mais aussi évaluer son exactitude, son actualité, sa fiabilité, sa pertinence, son degré de duplication ou d'unicité, et d'autres éléments qui pourraient être utilisés pour établir un score pour la valeur de la connaissance réelle ou du contenu de l'information pour l'organisation.</w:t>
      </w:r>
    </w:p>
    <w:p w14:paraId="539DA20F" w14:textId="77777777" w:rsidR="00F44270" w:rsidRPr="00F44270" w:rsidRDefault="00F44270" w:rsidP="00F44270">
      <w:pPr>
        <w:pStyle w:val="CorpsTexte"/>
      </w:pPr>
      <w:r w:rsidRPr="00F44270">
        <w:t>Frost et Choo (2017) évoquent sept étapes :</w:t>
      </w:r>
    </w:p>
    <w:p w14:paraId="615EEFEA" w14:textId="77777777" w:rsidR="00F44270" w:rsidRPr="00F44270" w:rsidRDefault="00F44270" w:rsidP="00423BDC">
      <w:pPr>
        <w:pStyle w:val="CorpsTexte"/>
        <w:numPr>
          <w:ilvl w:val="0"/>
          <w:numId w:val="24"/>
        </w:numPr>
      </w:pPr>
      <w:r w:rsidRPr="00F44270">
        <w:rPr>
          <w:b/>
        </w:rPr>
        <w:lastRenderedPageBreak/>
        <w:t>Planifier l'audit</w:t>
      </w:r>
      <w:r w:rsidRPr="00F44270">
        <w:t xml:space="preserve"> en fixant des objectifs, en identifiant les parties prenantes, en délimitant la portée du projet et en allouant les ressources, en choisissant une méthodologie et en élaborant des stratégies de communication et d'entreprise.</w:t>
      </w:r>
    </w:p>
    <w:p w14:paraId="1226D561" w14:textId="77777777" w:rsidR="00F44270" w:rsidRPr="00F44270" w:rsidRDefault="00F44270" w:rsidP="00423BDC">
      <w:pPr>
        <w:pStyle w:val="CorpsTexte"/>
        <w:numPr>
          <w:ilvl w:val="0"/>
          <w:numId w:val="24"/>
        </w:numPr>
      </w:pPr>
      <w:r w:rsidRPr="00F44270">
        <w:rPr>
          <w:b/>
        </w:rPr>
        <w:t>Collecter des données</w:t>
      </w:r>
      <w:r w:rsidRPr="00F44270">
        <w:t xml:space="preserve"> dans une base de données de ressources d'information, concevoir et distribuer des questionnaires, organiser des groupes de discussion et mener des entretiens personnels.</w:t>
      </w:r>
    </w:p>
    <w:p w14:paraId="76D496E4" w14:textId="77777777" w:rsidR="00F44270" w:rsidRPr="00F44270" w:rsidRDefault="00F44270" w:rsidP="00423BDC">
      <w:pPr>
        <w:pStyle w:val="CorpsTexte"/>
        <w:numPr>
          <w:ilvl w:val="0"/>
          <w:numId w:val="24"/>
        </w:numPr>
      </w:pPr>
      <w:r w:rsidRPr="00F44270">
        <w:rPr>
          <w:b/>
        </w:rPr>
        <w:t>Analyser les données</w:t>
      </w:r>
      <w:r w:rsidRPr="00F44270">
        <w:t xml:space="preserve"> recueillies et la recherche.</w:t>
      </w:r>
    </w:p>
    <w:p w14:paraId="54ADB2EC" w14:textId="77777777" w:rsidR="00F44270" w:rsidRPr="00F44270" w:rsidRDefault="00F44270" w:rsidP="00423BDC">
      <w:pPr>
        <w:pStyle w:val="CorpsTexte"/>
        <w:numPr>
          <w:ilvl w:val="0"/>
          <w:numId w:val="24"/>
        </w:numPr>
      </w:pPr>
      <w:r w:rsidRPr="00F44270">
        <w:rPr>
          <w:b/>
        </w:rPr>
        <w:t>Évaluer les lacunes et les doublons</w:t>
      </w:r>
      <w:r w:rsidRPr="00F44270">
        <w:t xml:space="preserve"> dans l'information, cartographier et interpréter les flux d'information, formuler des recommandations et élaborer un plan de gestion du changement.</w:t>
      </w:r>
    </w:p>
    <w:p w14:paraId="26B5D895" w14:textId="77777777" w:rsidR="00F44270" w:rsidRPr="00F44270" w:rsidRDefault="00F44270" w:rsidP="00423BDC">
      <w:pPr>
        <w:pStyle w:val="CorpsTexte"/>
        <w:numPr>
          <w:ilvl w:val="0"/>
          <w:numId w:val="24"/>
        </w:numPr>
      </w:pPr>
      <w:r w:rsidRPr="00F44270">
        <w:rPr>
          <w:b/>
        </w:rPr>
        <w:t>Communiquer les recommandations</w:t>
      </w:r>
      <w:r w:rsidRPr="00F44270">
        <w:t xml:space="preserve"> aux parties prenantes par le biais de rapports écrits, de présentations et de séminaires, de pages Web et de retours personnels.</w:t>
      </w:r>
    </w:p>
    <w:p w14:paraId="2942A598" w14:textId="77777777" w:rsidR="00F44270" w:rsidRPr="00F44270" w:rsidRDefault="00F44270" w:rsidP="00423BDC">
      <w:pPr>
        <w:pStyle w:val="CorpsTexte"/>
        <w:numPr>
          <w:ilvl w:val="0"/>
          <w:numId w:val="24"/>
        </w:numPr>
      </w:pPr>
      <w:r w:rsidRPr="00F44270">
        <w:rPr>
          <w:b/>
        </w:rPr>
        <w:t>Mettre en œuvre les recommandations</w:t>
      </w:r>
      <w:r w:rsidRPr="00F44270">
        <w:t xml:space="preserve"> par le biais de programmes de mise en œuvre, de plans de changement formels, de stratégies post-mise en œuvre et de politiques d'information.</w:t>
      </w:r>
    </w:p>
    <w:p w14:paraId="7CD78D69" w14:textId="77777777" w:rsidR="00F44270" w:rsidRPr="00F44270" w:rsidRDefault="00F44270" w:rsidP="00423BDC">
      <w:pPr>
        <w:pStyle w:val="CorpsTexte"/>
        <w:numPr>
          <w:ilvl w:val="0"/>
          <w:numId w:val="24"/>
        </w:numPr>
      </w:pPr>
      <w:r w:rsidRPr="00F44270">
        <w:rPr>
          <w:b/>
        </w:rPr>
        <w:t>Gestion continue des services d'information</w:t>
      </w:r>
      <w:r w:rsidRPr="00F44270">
        <w:t xml:space="preserve"> pour mesurer et évaluer les changements par le biais d'un audit régulier de l'information et d'un cycle d'évaluation des services.</w:t>
      </w:r>
    </w:p>
    <w:p w14:paraId="62D4A2FE" w14:textId="68AF3A43" w:rsidR="00F44270" w:rsidRDefault="00423BDC" w:rsidP="00423BDC">
      <w:pPr>
        <w:pStyle w:val="Titre2"/>
      </w:pPr>
      <w:r>
        <w:t>Gestion des risques informationnels</w:t>
      </w:r>
    </w:p>
    <w:p w14:paraId="255B1354" w14:textId="423B55BD" w:rsidR="00423BDC" w:rsidRPr="00423BDC" w:rsidRDefault="00423BDC" w:rsidP="00423BDC">
      <w:pPr>
        <w:pStyle w:val="Titre3"/>
      </w:pPr>
      <w:r w:rsidRPr="00423BDC">
        <w:t>ISO 18128:2014</w:t>
      </w:r>
    </w:p>
    <w:p w14:paraId="1F4F6BC9" w14:textId="77777777" w:rsidR="00F44270" w:rsidRPr="00F44270" w:rsidRDefault="00F44270" w:rsidP="00423BDC">
      <w:pPr>
        <w:pStyle w:val="Titre4"/>
      </w:pPr>
      <w:r w:rsidRPr="00F44270">
        <w:t>Champ d’application</w:t>
      </w:r>
    </w:p>
    <w:p w14:paraId="44E6B6E4" w14:textId="77777777" w:rsidR="00F44270" w:rsidRPr="00F44270" w:rsidRDefault="00F44270" w:rsidP="00F44270">
      <w:pPr>
        <w:keepNext/>
      </w:pPr>
      <w:r w:rsidRPr="00F44270">
        <w:t>Information et documentation - Évaluation du risque pour les processus et systèmes d'enregistrement</w:t>
      </w:r>
    </w:p>
    <w:p w14:paraId="62031D7F" w14:textId="77777777" w:rsidR="00F44270" w:rsidRPr="00F44270" w:rsidRDefault="00F44270" w:rsidP="00F44270">
      <w:r w:rsidRPr="00F44270">
        <w:t>La norme s’intéresse :</w:t>
      </w:r>
    </w:p>
    <w:p w14:paraId="2C8F74B8" w14:textId="77777777" w:rsidR="00F44270" w:rsidRPr="00F44270" w:rsidRDefault="00F44270" w:rsidP="00423BDC">
      <w:pPr>
        <w:numPr>
          <w:ilvl w:val="0"/>
          <w:numId w:val="31"/>
        </w:numPr>
      </w:pPr>
      <w:r w:rsidRPr="00F44270">
        <w:t>aux documents d’activité, c'est-à-dire les « informations créées, reçues et préservées comme preuve et actif par une personne physique ou morale dans l’exercice de ses obligations légales ou la conduite des opérations liées à son activité » (ISO 15489-1:2016, p. 3) ;</w:t>
      </w:r>
    </w:p>
    <w:p w14:paraId="167D79AF" w14:textId="77777777" w:rsidR="00F44270" w:rsidRPr="00F44270" w:rsidRDefault="00F44270" w:rsidP="00423BDC">
      <w:pPr>
        <w:numPr>
          <w:ilvl w:val="0"/>
          <w:numId w:val="31"/>
        </w:numPr>
      </w:pPr>
      <w:r w:rsidRPr="00F44270">
        <w:t>à l’appréciation des risques appliqués aux documents d’activité (identification, analyse et évaluation)</w:t>
      </w:r>
    </w:p>
    <w:p w14:paraId="66B1E2F2" w14:textId="77777777" w:rsidR="00F44270" w:rsidRPr="00F44270" w:rsidRDefault="00F44270" w:rsidP="00423BDC">
      <w:pPr>
        <w:numPr>
          <w:ilvl w:val="0"/>
          <w:numId w:val="31"/>
        </w:numPr>
      </w:pPr>
      <w:r w:rsidRPr="00F44270">
        <w:t>à la communication des risques identifiés, analysés et évalués</w:t>
      </w:r>
    </w:p>
    <w:p w14:paraId="515C5CD8" w14:textId="77777777" w:rsidR="00F44270" w:rsidRPr="00F44270" w:rsidRDefault="00F44270" w:rsidP="00F44270">
      <w:pPr>
        <w:spacing w:before="240" w:after="240"/>
      </w:pPr>
      <w:r w:rsidRPr="00F44270">
        <w:rPr>
          <w:rFonts w:cs="Arial"/>
          <w:noProof/>
          <w:szCs w:val="22"/>
          <w:lang w:val="fr-CH" w:eastAsia="fr-CH"/>
        </w:rPr>
        <w:drawing>
          <wp:inline distT="0" distB="0" distL="0" distR="0" wp14:anchorId="6475C140" wp14:editId="14839715">
            <wp:extent cx="238125" cy="200025"/>
            <wp:effectExtent l="0" t="0" r="9525" b="9525"/>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F44270">
        <w:rPr>
          <w:rFonts w:cs="Arial"/>
          <w:noProof/>
          <w:szCs w:val="22"/>
          <w:lang w:val="fr-CH" w:eastAsia="fr-CH"/>
        </w:rPr>
        <w:t xml:space="preserve"> </w:t>
      </w:r>
      <w:r w:rsidRPr="00F44270">
        <w:t>Elle ne couvre pas le traitement des risques informationnels.</w:t>
      </w:r>
    </w:p>
    <w:p w14:paraId="5F6298C4" w14:textId="77777777" w:rsidR="00F44270" w:rsidRPr="00F44270" w:rsidRDefault="00F44270" w:rsidP="00F44270">
      <w:r w:rsidRPr="00F44270">
        <w:rPr>
          <w:noProof/>
          <w:lang w:val="fr-CH" w:eastAsia="fr-CH"/>
        </w:rPr>
        <w:lastRenderedPageBreak/>
        <w:drawing>
          <wp:inline distT="0" distB="0" distL="0" distR="0" wp14:anchorId="1747CA83" wp14:editId="3830BAD0">
            <wp:extent cx="5734050" cy="42005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4200525"/>
                    </a:xfrm>
                    <a:prstGeom prst="rect">
                      <a:avLst/>
                    </a:prstGeom>
                    <a:noFill/>
                    <a:ln>
                      <a:noFill/>
                    </a:ln>
                  </pic:spPr>
                </pic:pic>
              </a:graphicData>
            </a:graphic>
          </wp:inline>
        </w:drawing>
      </w:r>
    </w:p>
    <w:p w14:paraId="648B9049" w14:textId="77777777" w:rsidR="00F44270" w:rsidRPr="00F44270" w:rsidRDefault="00F44270" w:rsidP="00423BDC">
      <w:pPr>
        <w:pStyle w:val="Titre4"/>
      </w:pPr>
      <w:r w:rsidRPr="00F44270">
        <w:t>Communication et concertation</w:t>
      </w:r>
    </w:p>
    <w:p w14:paraId="592B2EBD" w14:textId="77777777" w:rsidR="00F44270" w:rsidRPr="00F44270" w:rsidRDefault="00F44270" w:rsidP="00F44270">
      <w:r w:rsidRPr="00F44270">
        <w:t>Échanger avec les parties prenantes internes et externes afin de prendre en compte les différents points de vue et expertises</w:t>
      </w:r>
    </w:p>
    <w:p w14:paraId="68ACE9EA" w14:textId="77777777" w:rsidR="00F44270" w:rsidRPr="00F44270" w:rsidRDefault="00F44270" w:rsidP="00423BDC">
      <w:pPr>
        <w:pStyle w:val="Titre4"/>
      </w:pPr>
      <w:r w:rsidRPr="00F44270">
        <w:t>Établissement du contexte</w:t>
      </w:r>
    </w:p>
    <w:p w14:paraId="4C96AD5E" w14:textId="77777777" w:rsidR="00F44270" w:rsidRPr="00F44270" w:rsidRDefault="00F44270" w:rsidP="00F44270">
      <w:r w:rsidRPr="00F44270">
        <w:t>Énoncé des objectifs, définition des paramètres internes et externes à prendre en compte, détermination du domaine d'application et des critères de risque</w:t>
      </w:r>
    </w:p>
    <w:p w14:paraId="4B85D68D" w14:textId="77777777" w:rsidR="00F44270" w:rsidRPr="00F44270" w:rsidRDefault="00F44270" w:rsidP="00423BDC">
      <w:pPr>
        <w:pStyle w:val="Titre4"/>
      </w:pPr>
      <w:r w:rsidRPr="00F44270">
        <w:t>Appréciation du risque</w:t>
      </w:r>
    </w:p>
    <w:p w14:paraId="6884AC2C" w14:textId="77777777" w:rsidR="00F44270" w:rsidRPr="00F44270" w:rsidRDefault="00F44270" w:rsidP="00423BDC">
      <w:pPr>
        <w:pStyle w:val="Titre5"/>
      </w:pPr>
      <w:r w:rsidRPr="00F44270">
        <w:t>Considérations</w:t>
      </w:r>
    </w:p>
    <w:p w14:paraId="44CE02BA" w14:textId="77777777" w:rsidR="00F44270" w:rsidRPr="00F44270" w:rsidRDefault="00F44270" w:rsidP="00F44270">
      <w:pPr>
        <w:keepNext/>
      </w:pPr>
      <w:r w:rsidRPr="00F44270">
        <w:t>Plusieurs éléments sont à prendre en compte :</w:t>
      </w:r>
    </w:p>
    <w:p w14:paraId="2E4B853E" w14:textId="77777777" w:rsidR="00F44270" w:rsidRPr="00F44270" w:rsidRDefault="00F44270" w:rsidP="00423BDC">
      <w:pPr>
        <w:keepNext/>
        <w:numPr>
          <w:ilvl w:val="0"/>
          <w:numId w:val="32"/>
        </w:numPr>
        <w:spacing w:before="60" w:after="60"/>
        <w:ind w:left="714" w:hanging="357"/>
      </w:pPr>
      <w:r w:rsidRPr="00F44270">
        <w:rPr>
          <w:b/>
        </w:rPr>
        <w:t>Rôles et responsabilité :</w:t>
      </w:r>
      <w:r w:rsidRPr="00F44270">
        <w:t xml:space="preserve"> c’est-à-dire « spécifier le rôle des professionnels de la gestion documentaire dans l’appréciation du risque lié aux processus et aux systèmes documentaires » (ISO:18128:2014, p. 2)</w:t>
      </w:r>
    </w:p>
    <w:p w14:paraId="2243760A" w14:textId="77777777" w:rsidR="00F44270" w:rsidRPr="00F44270" w:rsidRDefault="00F44270" w:rsidP="00423BDC">
      <w:pPr>
        <w:numPr>
          <w:ilvl w:val="0"/>
          <w:numId w:val="32"/>
        </w:numPr>
        <w:spacing w:before="60" w:after="60"/>
        <w:ind w:left="714" w:hanging="357"/>
      </w:pPr>
      <w:r w:rsidRPr="00F44270">
        <w:rPr>
          <w:b/>
        </w:rPr>
        <w:t>Étendue et portée des activités d'évaluation des risques :</w:t>
      </w:r>
      <w:r w:rsidRPr="00F44270">
        <w:t xml:space="preserve"> pour éviter des redondances et d'éventuels conflits avec d'autres domaines d'appréciation des risques, il convient d'en préciser les relations et de leurs limites.</w:t>
      </w:r>
    </w:p>
    <w:p w14:paraId="1114214C" w14:textId="77777777" w:rsidR="00F44270" w:rsidRPr="00F44270" w:rsidRDefault="00F44270" w:rsidP="00423BDC">
      <w:pPr>
        <w:numPr>
          <w:ilvl w:val="0"/>
          <w:numId w:val="32"/>
        </w:numPr>
        <w:spacing w:before="60" w:after="60"/>
        <w:ind w:left="714" w:hanging="357"/>
        <w:rPr>
          <w:b/>
        </w:rPr>
      </w:pPr>
      <w:r w:rsidRPr="00F44270">
        <w:rPr>
          <w:b/>
        </w:rPr>
        <w:t>Critères de risque en conformité avec les lois, règlements de la juridiction de l’organisme</w:t>
      </w:r>
      <w:r w:rsidRPr="00F44270">
        <w:t xml:space="preserve"> incluant :</w:t>
      </w:r>
    </w:p>
    <w:p w14:paraId="4C4E14E9" w14:textId="77777777" w:rsidR="00F44270" w:rsidRPr="00F44270" w:rsidRDefault="00F44270" w:rsidP="00423BDC">
      <w:pPr>
        <w:numPr>
          <w:ilvl w:val="1"/>
          <w:numId w:val="32"/>
        </w:numPr>
      </w:pPr>
      <w:r w:rsidRPr="00F44270">
        <w:t>Nature et type de conséquences</w:t>
      </w:r>
    </w:p>
    <w:p w14:paraId="6A85003D" w14:textId="77777777" w:rsidR="00F44270" w:rsidRPr="00F44270" w:rsidRDefault="00F44270" w:rsidP="00423BDC">
      <w:pPr>
        <w:numPr>
          <w:ilvl w:val="1"/>
          <w:numId w:val="32"/>
        </w:numPr>
      </w:pPr>
      <w:r w:rsidRPr="00F44270">
        <w:t>Mode d’expression des probabilités</w:t>
      </w:r>
    </w:p>
    <w:p w14:paraId="0B671CF3" w14:textId="77777777" w:rsidR="00F44270" w:rsidRPr="00F44270" w:rsidRDefault="00F44270" w:rsidP="00423BDC">
      <w:pPr>
        <w:numPr>
          <w:ilvl w:val="1"/>
          <w:numId w:val="32"/>
        </w:numPr>
      </w:pPr>
      <w:r w:rsidRPr="00F44270">
        <w:t>Méthode de détermination des niveaux des risques</w:t>
      </w:r>
    </w:p>
    <w:p w14:paraId="0DCE4243" w14:textId="77777777" w:rsidR="00F44270" w:rsidRPr="00F44270" w:rsidRDefault="00F44270" w:rsidP="00423BDC">
      <w:pPr>
        <w:numPr>
          <w:ilvl w:val="1"/>
          <w:numId w:val="32"/>
        </w:numPr>
      </w:pPr>
      <w:r w:rsidRPr="00F44270">
        <w:t xml:space="preserve">Critères déterminant le moment ou un traitement du risque devient nécessaire </w:t>
      </w:r>
    </w:p>
    <w:p w14:paraId="3CD0CFB8" w14:textId="77777777" w:rsidR="00F44270" w:rsidRPr="00F44270" w:rsidRDefault="00F44270" w:rsidP="00423BDC">
      <w:pPr>
        <w:numPr>
          <w:ilvl w:val="1"/>
          <w:numId w:val="32"/>
        </w:numPr>
      </w:pPr>
      <w:r w:rsidRPr="00F44270">
        <w:t xml:space="preserve">Critères déterminant si un risque est acceptable </w:t>
      </w:r>
    </w:p>
    <w:p w14:paraId="31BD9558" w14:textId="77777777" w:rsidR="00F44270" w:rsidRPr="00F44270" w:rsidRDefault="00F44270" w:rsidP="00423BDC">
      <w:pPr>
        <w:numPr>
          <w:ilvl w:val="1"/>
          <w:numId w:val="32"/>
        </w:numPr>
      </w:pPr>
      <w:r w:rsidRPr="00F44270">
        <w:t>Conditions et méthodes de combinaison de risques</w:t>
      </w:r>
    </w:p>
    <w:p w14:paraId="51172018" w14:textId="68FD36F4" w:rsidR="00F44270" w:rsidRPr="00F44270" w:rsidRDefault="00F44270" w:rsidP="00F44270">
      <w:r w:rsidRPr="00F44270">
        <w:rPr>
          <w:noProof/>
          <w:lang w:val="fr-CH" w:eastAsia="fr-CH"/>
        </w:rPr>
        <w:lastRenderedPageBreak/>
        <w:drawing>
          <wp:inline distT="0" distB="0" distL="0" distR="0" wp14:anchorId="502B119C" wp14:editId="6F3540A0">
            <wp:extent cx="238760" cy="198755"/>
            <wp:effectExtent l="0" t="0" r="889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r w:rsidRPr="00F44270">
        <w:t xml:space="preserve"> L’identification des risques repose sur leur potentiel à compromettre les caractéristiques d’</w:t>
      </w:r>
      <w:r w:rsidRPr="00F44270">
        <w:rPr>
          <w:b/>
        </w:rPr>
        <w:t>authenticité</w:t>
      </w:r>
      <w:r w:rsidRPr="00F44270">
        <w:t xml:space="preserve">, de </w:t>
      </w:r>
      <w:r w:rsidRPr="00F44270">
        <w:rPr>
          <w:b/>
        </w:rPr>
        <w:t>fiabilité</w:t>
      </w:r>
      <w:r w:rsidRPr="00F44270">
        <w:t>, d’</w:t>
      </w:r>
      <w:r w:rsidRPr="00F44270">
        <w:rPr>
          <w:b/>
        </w:rPr>
        <w:t>intégrité</w:t>
      </w:r>
      <w:r w:rsidRPr="00F44270">
        <w:t xml:space="preserve"> et </w:t>
      </w:r>
      <w:r w:rsidRPr="00F44270">
        <w:rPr>
          <w:b/>
        </w:rPr>
        <w:t>exploitabilité</w:t>
      </w:r>
      <w:r w:rsidRPr="00F44270">
        <w:t xml:space="preserve"> des documents d’activité, les rendant inaptes à remplir les objectifs ayant présidé à leur création. (ISO:18128:2014, p. 3)</w:t>
      </w:r>
    </w:p>
    <w:p w14:paraId="7F370B5C" w14:textId="77777777" w:rsidR="00F44270" w:rsidRPr="00F44270" w:rsidRDefault="00F44270" w:rsidP="00423BDC">
      <w:pPr>
        <w:pStyle w:val="Titre5"/>
      </w:pPr>
      <w:r w:rsidRPr="00F44270">
        <w:t>Identification des risques</w:t>
      </w:r>
    </w:p>
    <w:p w14:paraId="7DBBD608" w14:textId="77777777" w:rsidR="00F44270" w:rsidRPr="00F44270" w:rsidRDefault="00F44270" w:rsidP="00F44270">
      <w:pPr>
        <w:jc w:val="center"/>
      </w:pPr>
      <w:r w:rsidRPr="00F44270">
        <w:rPr>
          <w:noProof/>
          <w:lang w:val="fr-CH" w:eastAsia="fr-CH"/>
        </w:rPr>
        <w:drawing>
          <wp:inline distT="0" distB="0" distL="0" distR="0" wp14:anchorId="407B9262" wp14:editId="5FAB84C1">
            <wp:extent cx="3638550" cy="3333750"/>
            <wp:effectExtent l="0" t="19050" r="0" b="76200"/>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A0EFCCD" w14:textId="77777777" w:rsidR="00F44270" w:rsidRPr="00F44270" w:rsidRDefault="00F44270" w:rsidP="00F44270">
      <w:r w:rsidRPr="00F44270">
        <w:t>Elle est structurée en fonction du contexte, des systèmes et des processus documentaires et prend en compte les éléments suivants :</w:t>
      </w:r>
    </w:p>
    <w:p w14:paraId="1C04FCBF" w14:textId="77777777" w:rsidR="00F44270" w:rsidRPr="00F44270" w:rsidRDefault="00F44270" w:rsidP="00423BDC">
      <w:pPr>
        <w:numPr>
          <w:ilvl w:val="0"/>
          <w:numId w:val="33"/>
        </w:numPr>
        <w:spacing w:before="60"/>
        <w:ind w:left="714" w:hanging="357"/>
      </w:pPr>
      <w:r w:rsidRPr="00F44270">
        <w:t>Contexte externe</w:t>
      </w:r>
    </w:p>
    <w:p w14:paraId="0660EEAD" w14:textId="77777777" w:rsidR="00F44270" w:rsidRPr="00F44270" w:rsidRDefault="00F44270" w:rsidP="00423BDC">
      <w:pPr>
        <w:numPr>
          <w:ilvl w:val="1"/>
          <w:numId w:val="33"/>
        </w:numPr>
      </w:pPr>
      <w:r w:rsidRPr="00F44270">
        <w:t>Changements dans le contexte politique et social</w:t>
      </w:r>
    </w:p>
    <w:p w14:paraId="4FB11AAB" w14:textId="77777777" w:rsidR="00F44270" w:rsidRPr="00F44270" w:rsidRDefault="00F44270" w:rsidP="00423BDC">
      <w:pPr>
        <w:numPr>
          <w:ilvl w:val="1"/>
          <w:numId w:val="33"/>
        </w:numPr>
      </w:pPr>
      <w:r w:rsidRPr="00F44270">
        <w:t>Environnement macro-économique et technologique</w:t>
      </w:r>
    </w:p>
    <w:p w14:paraId="5858F852" w14:textId="77777777" w:rsidR="00F44270" w:rsidRPr="00F44270" w:rsidRDefault="00F44270" w:rsidP="00423BDC">
      <w:pPr>
        <w:numPr>
          <w:ilvl w:val="1"/>
          <w:numId w:val="33"/>
        </w:numPr>
      </w:pPr>
      <w:r w:rsidRPr="00F44270">
        <w:t>Environnement physique et infrastructure</w:t>
      </w:r>
    </w:p>
    <w:p w14:paraId="683B58B3" w14:textId="77777777" w:rsidR="00F44270" w:rsidRPr="00F44270" w:rsidRDefault="00F44270" w:rsidP="00423BDC">
      <w:pPr>
        <w:numPr>
          <w:ilvl w:val="1"/>
          <w:numId w:val="33"/>
        </w:numPr>
      </w:pPr>
      <w:r w:rsidRPr="00F44270">
        <w:t>Menaces extérieures contre la sécurité</w:t>
      </w:r>
    </w:p>
    <w:p w14:paraId="47C6AEFB" w14:textId="77777777" w:rsidR="00F44270" w:rsidRPr="00F44270" w:rsidRDefault="00F44270" w:rsidP="00423BDC">
      <w:pPr>
        <w:numPr>
          <w:ilvl w:val="0"/>
          <w:numId w:val="33"/>
        </w:numPr>
        <w:spacing w:before="60"/>
        <w:ind w:left="714" w:hanging="357"/>
      </w:pPr>
      <w:r w:rsidRPr="00F44270">
        <w:t>Contexte interne</w:t>
      </w:r>
    </w:p>
    <w:p w14:paraId="2C33B8DD" w14:textId="77777777" w:rsidR="00F44270" w:rsidRPr="00F44270" w:rsidRDefault="00F44270" w:rsidP="00423BDC">
      <w:pPr>
        <w:numPr>
          <w:ilvl w:val="1"/>
          <w:numId w:val="33"/>
        </w:numPr>
      </w:pPr>
      <w:r w:rsidRPr="00F44270">
        <w:t>Changements organisationnels</w:t>
      </w:r>
    </w:p>
    <w:p w14:paraId="5747BC6B" w14:textId="77777777" w:rsidR="00F44270" w:rsidRPr="00F44270" w:rsidRDefault="00F44270" w:rsidP="00423BDC">
      <w:pPr>
        <w:numPr>
          <w:ilvl w:val="1"/>
          <w:numId w:val="33"/>
        </w:numPr>
      </w:pPr>
      <w:r w:rsidRPr="00F44270">
        <w:t>Changements technologiques</w:t>
      </w:r>
    </w:p>
    <w:p w14:paraId="76142F4E" w14:textId="77777777" w:rsidR="00F44270" w:rsidRPr="00F44270" w:rsidRDefault="00F44270" w:rsidP="00423BDC">
      <w:pPr>
        <w:numPr>
          <w:ilvl w:val="1"/>
          <w:numId w:val="33"/>
        </w:numPr>
      </w:pPr>
      <w:r w:rsidRPr="00F44270">
        <w:t>Ressources - Personnel et compétences</w:t>
      </w:r>
    </w:p>
    <w:p w14:paraId="7F67CCC0" w14:textId="77777777" w:rsidR="00F44270" w:rsidRPr="00F44270" w:rsidRDefault="00F44270" w:rsidP="00423BDC">
      <w:pPr>
        <w:numPr>
          <w:ilvl w:val="1"/>
          <w:numId w:val="33"/>
        </w:numPr>
      </w:pPr>
      <w:r w:rsidRPr="00F44270">
        <w:t>Ressources - Finances et matériels</w:t>
      </w:r>
    </w:p>
    <w:p w14:paraId="4C26E70C" w14:textId="77777777" w:rsidR="00F44270" w:rsidRPr="00F44270" w:rsidRDefault="00F44270" w:rsidP="00423BDC">
      <w:pPr>
        <w:numPr>
          <w:ilvl w:val="0"/>
          <w:numId w:val="33"/>
        </w:numPr>
        <w:spacing w:before="60"/>
        <w:ind w:left="714" w:hanging="357"/>
      </w:pPr>
      <w:r w:rsidRPr="00F44270">
        <w:t>Systèmes documentaire</w:t>
      </w:r>
    </w:p>
    <w:p w14:paraId="0B7A9699" w14:textId="77777777" w:rsidR="00F44270" w:rsidRPr="00F44270" w:rsidRDefault="00F44270" w:rsidP="00423BDC">
      <w:pPr>
        <w:numPr>
          <w:ilvl w:val="1"/>
          <w:numId w:val="33"/>
        </w:numPr>
      </w:pPr>
      <w:r w:rsidRPr="00F44270">
        <w:t>Conception des systèmes</w:t>
      </w:r>
    </w:p>
    <w:p w14:paraId="78F019E2" w14:textId="77777777" w:rsidR="00F44270" w:rsidRPr="00F44270" w:rsidRDefault="00F44270" w:rsidP="00423BDC">
      <w:pPr>
        <w:numPr>
          <w:ilvl w:val="1"/>
          <w:numId w:val="33"/>
        </w:numPr>
      </w:pPr>
      <w:r w:rsidRPr="00F44270">
        <w:t>Maintenance</w:t>
      </w:r>
    </w:p>
    <w:p w14:paraId="2E1DFD0C" w14:textId="77777777" w:rsidR="00F44270" w:rsidRPr="00F44270" w:rsidRDefault="00F44270" w:rsidP="00423BDC">
      <w:pPr>
        <w:numPr>
          <w:ilvl w:val="1"/>
          <w:numId w:val="33"/>
        </w:numPr>
      </w:pPr>
      <w:r w:rsidRPr="00F44270">
        <w:t>Durabilité et continuité</w:t>
      </w:r>
    </w:p>
    <w:p w14:paraId="4F817845" w14:textId="77777777" w:rsidR="00F44270" w:rsidRPr="00F44270" w:rsidRDefault="00F44270" w:rsidP="00423BDC">
      <w:pPr>
        <w:numPr>
          <w:ilvl w:val="1"/>
          <w:numId w:val="33"/>
        </w:numPr>
      </w:pPr>
      <w:r w:rsidRPr="00F44270">
        <w:t>Interopérabilité</w:t>
      </w:r>
    </w:p>
    <w:p w14:paraId="34EFD0C6" w14:textId="77777777" w:rsidR="00F44270" w:rsidRPr="00F44270" w:rsidRDefault="00F44270" w:rsidP="00423BDC">
      <w:pPr>
        <w:numPr>
          <w:ilvl w:val="1"/>
          <w:numId w:val="33"/>
        </w:numPr>
      </w:pPr>
      <w:r w:rsidRPr="00F44270">
        <w:t>Sécurité</w:t>
      </w:r>
    </w:p>
    <w:p w14:paraId="6F29105F" w14:textId="77777777" w:rsidR="00F44270" w:rsidRPr="00F44270" w:rsidRDefault="00F44270" w:rsidP="00423BDC">
      <w:pPr>
        <w:keepNext/>
        <w:numPr>
          <w:ilvl w:val="0"/>
          <w:numId w:val="34"/>
        </w:numPr>
        <w:spacing w:before="60"/>
        <w:ind w:left="714" w:hanging="357"/>
      </w:pPr>
      <w:r w:rsidRPr="00F44270">
        <w:t>Processus documentaire</w:t>
      </w:r>
    </w:p>
    <w:p w14:paraId="1566018D" w14:textId="77777777" w:rsidR="00F44270" w:rsidRPr="00F44270" w:rsidRDefault="00F44270" w:rsidP="00423BDC">
      <w:pPr>
        <w:keepNext/>
        <w:numPr>
          <w:ilvl w:val="1"/>
          <w:numId w:val="34"/>
        </w:numPr>
      </w:pPr>
      <w:r w:rsidRPr="00F44270">
        <w:t>Conception des documents d’activité</w:t>
      </w:r>
    </w:p>
    <w:p w14:paraId="05564D93" w14:textId="77777777" w:rsidR="00F44270" w:rsidRPr="00F44270" w:rsidRDefault="00F44270" w:rsidP="00423BDC">
      <w:pPr>
        <w:numPr>
          <w:ilvl w:val="1"/>
          <w:numId w:val="34"/>
        </w:numPr>
      </w:pPr>
      <w:r w:rsidRPr="00F44270">
        <w:t>Création de documents d’activité et mise en œuvre de systèmes documentaires</w:t>
      </w:r>
    </w:p>
    <w:p w14:paraId="5AEAC197" w14:textId="77777777" w:rsidR="00F44270" w:rsidRPr="00F44270" w:rsidRDefault="00F44270" w:rsidP="00423BDC">
      <w:pPr>
        <w:numPr>
          <w:ilvl w:val="1"/>
          <w:numId w:val="34"/>
        </w:numPr>
      </w:pPr>
      <w:r w:rsidRPr="00F44270">
        <w:t>Métadonnées</w:t>
      </w:r>
    </w:p>
    <w:p w14:paraId="7B1198BD" w14:textId="77777777" w:rsidR="00F44270" w:rsidRPr="00F44270" w:rsidRDefault="00F44270" w:rsidP="00423BDC">
      <w:pPr>
        <w:numPr>
          <w:ilvl w:val="1"/>
          <w:numId w:val="34"/>
        </w:numPr>
      </w:pPr>
      <w:r w:rsidRPr="00F44270">
        <w:t>Utilisation des documents d’activité et des systèmes documentaires</w:t>
      </w:r>
    </w:p>
    <w:p w14:paraId="6D1D9786" w14:textId="77777777" w:rsidR="00F44270" w:rsidRPr="00F44270" w:rsidRDefault="00F44270" w:rsidP="00423BDC">
      <w:pPr>
        <w:numPr>
          <w:ilvl w:val="1"/>
          <w:numId w:val="34"/>
        </w:numPr>
      </w:pPr>
      <w:r w:rsidRPr="00F44270">
        <w:t>Maintenance de l’utilisabilité</w:t>
      </w:r>
    </w:p>
    <w:p w14:paraId="234ADC1A" w14:textId="77777777" w:rsidR="00F44270" w:rsidRPr="00F44270" w:rsidRDefault="00F44270" w:rsidP="00423BDC">
      <w:pPr>
        <w:numPr>
          <w:ilvl w:val="1"/>
          <w:numId w:val="34"/>
        </w:numPr>
      </w:pPr>
      <w:r w:rsidRPr="00F44270">
        <w:t>Sort final des documents d’activité</w:t>
      </w:r>
    </w:p>
    <w:p w14:paraId="09EAA4FE" w14:textId="77777777" w:rsidR="00F44270" w:rsidRPr="00F44270" w:rsidRDefault="00F44270" w:rsidP="00F44270">
      <w:pPr>
        <w:keepNext/>
        <w:keepLines/>
        <w:spacing w:before="200"/>
        <w:outlineLvl w:val="2"/>
        <w:rPr>
          <w:bCs/>
          <w:u w:val="single"/>
        </w:rPr>
      </w:pPr>
      <w:r w:rsidRPr="00F44270">
        <w:rPr>
          <w:bCs/>
          <w:u w:val="single"/>
        </w:rPr>
        <w:t>Analyse des risques</w:t>
      </w:r>
    </w:p>
    <w:p w14:paraId="09C86C0F" w14:textId="77777777" w:rsidR="00F44270" w:rsidRPr="00F44270" w:rsidRDefault="00F44270" w:rsidP="00F44270">
      <w:r w:rsidRPr="00F44270">
        <w:t xml:space="preserve">Le niveau de risque se base sur la combinaison de la </w:t>
      </w:r>
      <w:r w:rsidRPr="00F44270">
        <w:rPr>
          <w:bdr w:val="single" w:sz="4" w:space="0" w:color="auto"/>
          <w:shd w:val="clear" w:color="auto" w:fill="F4B083" w:themeFill="accent2" w:themeFillTint="99"/>
        </w:rPr>
        <w:t xml:space="preserve"> probabilité </w:t>
      </w:r>
      <w:r w:rsidRPr="00F44270">
        <w:t xml:space="preserve"> et des </w:t>
      </w:r>
      <w:r w:rsidRPr="00F44270">
        <w:rPr>
          <w:bdr w:val="single" w:sz="4" w:space="0" w:color="auto"/>
          <w:shd w:val="clear" w:color="auto" w:fill="A8D08D" w:themeFill="accent6" w:themeFillTint="99"/>
        </w:rPr>
        <w:t xml:space="preserve"> conséquences </w:t>
      </w:r>
      <w:r w:rsidRPr="00F44270">
        <w:t>.</w:t>
      </w:r>
    </w:p>
    <w:p w14:paraId="68E62F5F" w14:textId="77777777" w:rsidR="00F44270" w:rsidRPr="00F44270" w:rsidRDefault="00F44270" w:rsidP="00F44270">
      <w:pPr>
        <w:spacing w:before="120"/>
      </w:pPr>
      <w:r w:rsidRPr="00F44270">
        <w:rPr>
          <w:bdr w:val="single" w:sz="4" w:space="0" w:color="auto"/>
          <w:shd w:val="clear" w:color="auto" w:fill="F4B083" w:themeFill="accent2" w:themeFillTint="99"/>
        </w:rPr>
        <w:lastRenderedPageBreak/>
        <w:t xml:space="preserve"> Probabilité </w:t>
      </w:r>
      <w:r w:rsidRPr="00F44270">
        <w:t>: fréquence à laquelle un risque peut survenir (rare, faible, moyenne, élevée), voir le tableau 1 pour des exemples</w:t>
      </w:r>
    </w:p>
    <w:p w14:paraId="61B44AFE" w14:textId="77777777" w:rsidR="00F44270" w:rsidRPr="00F44270" w:rsidRDefault="00F44270" w:rsidP="00F44270">
      <w:pPr>
        <w:spacing w:before="120"/>
      </w:pPr>
      <w:r w:rsidRPr="00F44270">
        <w:rPr>
          <w:bdr w:val="single" w:sz="4" w:space="0" w:color="auto"/>
          <w:shd w:val="clear" w:color="auto" w:fill="A8D08D" w:themeFill="accent6" w:themeFillTint="99"/>
        </w:rPr>
        <w:t xml:space="preserve"> Conséquences </w:t>
      </w:r>
      <w:r w:rsidRPr="00F44270">
        <w:t>: impacts subis si le risque survient effectivement (mineur, modéré, majeur, grave), voir le tableau 2 pour des exemples</w:t>
      </w:r>
    </w:p>
    <w:p w14:paraId="5CADD94C" w14:textId="77777777" w:rsidR="00F44270" w:rsidRPr="00F44270" w:rsidRDefault="00F44270" w:rsidP="00F44270">
      <w:pPr>
        <w:spacing w:before="120"/>
      </w:pPr>
      <w:r w:rsidRPr="00F44270">
        <w:t>Méthodes et sources :</w:t>
      </w:r>
    </w:p>
    <w:p w14:paraId="14762F73" w14:textId="77777777" w:rsidR="00F44270" w:rsidRPr="00F44270" w:rsidRDefault="00F44270" w:rsidP="00423BDC">
      <w:pPr>
        <w:numPr>
          <w:ilvl w:val="0"/>
          <w:numId w:val="30"/>
        </w:numPr>
      </w:pPr>
      <w:r w:rsidRPr="00F44270">
        <w:t>Observation, statistiques, analyse de la documentation concernant :</w:t>
      </w:r>
    </w:p>
    <w:p w14:paraId="15070567" w14:textId="77777777" w:rsidR="00F44270" w:rsidRPr="00F44270" w:rsidRDefault="00F44270" w:rsidP="00423BDC">
      <w:pPr>
        <w:numPr>
          <w:ilvl w:val="1"/>
          <w:numId w:val="30"/>
        </w:numPr>
      </w:pPr>
      <w:r w:rsidRPr="00F44270">
        <w:t>définition des accès, règles de conservation, journal des éliminations, schéma des métadonnées, journaux des utilisations, surveillance des non-conformités, …</w:t>
      </w:r>
    </w:p>
    <w:p w14:paraId="496703DA" w14:textId="77777777" w:rsidR="00F44270" w:rsidRPr="00F44270" w:rsidRDefault="00F44270" w:rsidP="00423BDC">
      <w:pPr>
        <w:pStyle w:val="Titre5"/>
      </w:pPr>
      <w:r w:rsidRPr="00F44270">
        <w:t>Évaluation des risques</w:t>
      </w:r>
    </w:p>
    <w:p w14:paraId="100BAE52" w14:textId="77777777" w:rsidR="00F44270" w:rsidRPr="00F44270" w:rsidRDefault="00F44270" w:rsidP="00F44270">
      <w:r w:rsidRPr="00F44270">
        <w:t>Comparaison entre le niveau de risque calculé lors de l'analyse et les critères de risque établis auparavant, voir le tableau 3 pour des exemples</w:t>
      </w:r>
    </w:p>
    <w:p w14:paraId="2B2B3763" w14:textId="77777777" w:rsidR="00F44270" w:rsidRPr="00F44270" w:rsidRDefault="00F44270" w:rsidP="00423BDC">
      <w:pPr>
        <w:pStyle w:val="Titre4"/>
      </w:pPr>
      <w:r w:rsidRPr="00F44270">
        <w:t>Surveillance et revue</w:t>
      </w:r>
    </w:p>
    <w:p w14:paraId="33F8A243" w14:textId="77777777" w:rsidR="00F44270" w:rsidRPr="00F44270" w:rsidRDefault="00F44270" w:rsidP="00F44270">
      <w:pPr>
        <w:keepNext/>
      </w:pPr>
      <w:r w:rsidRPr="00F44270">
        <w:t>Il s’agit de contrôles périodiques ou ponctuels des processus et informations de management des risques</w:t>
      </w:r>
    </w:p>
    <w:p w14:paraId="45B42744" w14:textId="36C17B09" w:rsidR="00423BDC" w:rsidRPr="00423BDC" w:rsidRDefault="00423BDC" w:rsidP="00423BDC">
      <w:pPr>
        <w:spacing w:before="120" w:after="120"/>
        <w:outlineLvl w:val="1"/>
        <w:rPr>
          <w:rFonts w:cs="Arial"/>
          <w:b/>
          <w:szCs w:val="22"/>
        </w:rPr>
      </w:pPr>
      <w:r w:rsidRPr="00423BDC">
        <w:rPr>
          <w:rFonts w:cs="Arial"/>
          <w:b/>
          <w:szCs w:val="22"/>
        </w:rPr>
        <w:t>Risques Informationnels dans les Organisations (RIO)</w:t>
      </w:r>
    </w:p>
    <w:p w14:paraId="2B532582" w14:textId="77777777" w:rsidR="00423BDC" w:rsidRPr="00423BDC" w:rsidRDefault="00423BDC" w:rsidP="00423BDC">
      <w:r w:rsidRPr="00423BDC">
        <w:t>Il s’agit d’un projet de recherche mené de 2019 à 2021 qui avait comme principaux objectifs de :</w:t>
      </w:r>
    </w:p>
    <w:p w14:paraId="2FD2C2D8" w14:textId="77777777" w:rsidR="00423BDC" w:rsidRPr="00423BDC" w:rsidRDefault="00423BDC" w:rsidP="00423BDC">
      <w:pPr>
        <w:numPr>
          <w:ilvl w:val="0"/>
          <w:numId w:val="30"/>
        </w:numPr>
        <w:contextualSpacing/>
      </w:pPr>
      <w:r w:rsidRPr="00423BDC">
        <w:t>définir</w:t>
      </w:r>
    </w:p>
    <w:p w14:paraId="4389B169" w14:textId="77777777" w:rsidR="00423BDC" w:rsidRPr="00423BDC" w:rsidRDefault="00423BDC" w:rsidP="00423BDC">
      <w:pPr>
        <w:numPr>
          <w:ilvl w:val="1"/>
          <w:numId w:val="30"/>
        </w:numPr>
        <w:contextualSpacing/>
      </w:pPr>
      <w:r w:rsidRPr="00423BDC">
        <w:t>la nature, les principales caractéristiques et la typologie des risques informationnels (RI) ;</w:t>
      </w:r>
    </w:p>
    <w:p w14:paraId="1467D3ED" w14:textId="77777777" w:rsidR="00423BDC" w:rsidRPr="00423BDC" w:rsidRDefault="00423BDC" w:rsidP="00423BDC">
      <w:pPr>
        <w:numPr>
          <w:ilvl w:val="1"/>
          <w:numId w:val="30"/>
        </w:numPr>
        <w:contextualSpacing/>
      </w:pPr>
      <w:r w:rsidRPr="00423BDC">
        <w:t>les indicateurs appropriés permettant de les mesurer ;</w:t>
      </w:r>
    </w:p>
    <w:p w14:paraId="6E39E936" w14:textId="77777777" w:rsidR="00423BDC" w:rsidRPr="00423BDC" w:rsidRDefault="00423BDC" w:rsidP="00423BDC">
      <w:pPr>
        <w:numPr>
          <w:ilvl w:val="0"/>
          <w:numId w:val="30"/>
        </w:numPr>
        <w:contextualSpacing/>
      </w:pPr>
      <w:r w:rsidRPr="00423BDC">
        <w:t>proposer un modèle de gouvernance et des outils de pilotage appropriés aux RI.</w:t>
      </w:r>
    </w:p>
    <w:p w14:paraId="345291C4" w14:textId="77777777" w:rsidR="00423BDC" w:rsidRPr="00423BDC" w:rsidRDefault="00423BDC" w:rsidP="00423BDC">
      <w:r w:rsidRPr="00423BDC">
        <w:rPr>
          <w:noProof/>
          <w:lang w:val="fr-CH" w:eastAsia="fr-CH"/>
        </w:rPr>
        <w:drawing>
          <wp:inline distT="0" distB="0" distL="0" distR="0" wp14:anchorId="31B78075" wp14:editId="67C7D4A1">
            <wp:extent cx="5760720" cy="4031615"/>
            <wp:effectExtent l="0" t="0" r="0" b="698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1_New_Typology_V8.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031615"/>
                    </a:xfrm>
                    <a:prstGeom prst="rect">
                      <a:avLst/>
                    </a:prstGeom>
                  </pic:spPr>
                </pic:pic>
              </a:graphicData>
            </a:graphic>
          </wp:inline>
        </w:drawing>
      </w:r>
    </w:p>
    <w:p w14:paraId="5EAEE943" w14:textId="77777777" w:rsidR="00423BDC" w:rsidRPr="00423BDC" w:rsidRDefault="00423BDC" w:rsidP="00423BDC">
      <w:pPr>
        <w:keepNext/>
        <w:keepLines/>
        <w:spacing w:before="200"/>
        <w:outlineLvl w:val="2"/>
        <w:rPr>
          <w:bCs/>
          <w:u w:val="single"/>
        </w:rPr>
      </w:pPr>
      <w:r w:rsidRPr="00423BDC">
        <w:rPr>
          <w:bCs/>
          <w:u w:val="single"/>
        </w:rPr>
        <w:t>Paramètres du risque</w:t>
      </w:r>
    </w:p>
    <w:p w14:paraId="7737A01B" w14:textId="77777777" w:rsidR="00423BDC" w:rsidRPr="00423BDC" w:rsidRDefault="00423BDC" w:rsidP="00423BDC">
      <w:pPr>
        <w:spacing w:before="240"/>
      </w:pPr>
      <w:r w:rsidRPr="00423BDC">
        <w:t>Les paramètres du risque sont les éléments qui caractérisent un risque :</w:t>
      </w:r>
    </w:p>
    <w:p w14:paraId="2C0613D0" w14:textId="77777777" w:rsidR="00423BDC" w:rsidRPr="00423BDC" w:rsidRDefault="00423BDC" w:rsidP="00423BDC">
      <w:pPr>
        <w:numPr>
          <w:ilvl w:val="0"/>
          <w:numId w:val="35"/>
        </w:numPr>
        <w:spacing w:before="240"/>
        <w:contextualSpacing/>
      </w:pPr>
      <w:r w:rsidRPr="00423BDC">
        <w:rPr>
          <w:b/>
        </w:rPr>
        <w:lastRenderedPageBreak/>
        <w:t>Probabilité (</w:t>
      </w:r>
      <w:r w:rsidRPr="00423BDC">
        <w:rPr>
          <w:b/>
          <w:i/>
        </w:rPr>
        <w:t>probability</w:t>
      </w:r>
      <w:r w:rsidRPr="00423BDC">
        <w:rPr>
          <w:b/>
        </w:rPr>
        <w:t>) :</w:t>
      </w:r>
      <w:r w:rsidRPr="00423BDC">
        <w:t xml:space="preserve"> « possibilité que quelque chose se produise » (Organisation internationale de normalisation 2018) ;</w:t>
      </w:r>
    </w:p>
    <w:p w14:paraId="0032CA8A" w14:textId="77777777" w:rsidR="00423BDC" w:rsidRPr="00423BDC" w:rsidRDefault="00423BDC" w:rsidP="00423BDC">
      <w:pPr>
        <w:numPr>
          <w:ilvl w:val="0"/>
          <w:numId w:val="35"/>
        </w:numPr>
        <w:spacing w:before="240"/>
        <w:contextualSpacing/>
      </w:pPr>
      <w:r w:rsidRPr="00423BDC">
        <w:rPr>
          <w:b/>
        </w:rPr>
        <w:t>Vulnérabilités (</w:t>
      </w:r>
      <w:r w:rsidRPr="00423BDC">
        <w:rPr>
          <w:b/>
          <w:i/>
        </w:rPr>
        <w:t>vulnerabilities</w:t>
      </w:r>
      <w:r w:rsidRPr="00423BDC">
        <w:rPr>
          <w:b/>
        </w:rPr>
        <w:t>) :</w:t>
      </w:r>
      <w:r w:rsidRPr="00423BDC">
        <w:t xml:space="preserve"> faiblesses qui permettent à des menaces spécifiques de provoquer des effets néfastes sur les systèmes et les informations (Organisation internationale de normalisation 2018 ; Saffady 2020) ;</w:t>
      </w:r>
    </w:p>
    <w:p w14:paraId="3790B78C" w14:textId="77777777" w:rsidR="00423BDC" w:rsidRPr="00423BDC" w:rsidRDefault="00423BDC" w:rsidP="00423BDC">
      <w:pPr>
        <w:numPr>
          <w:ilvl w:val="0"/>
          <w:numId w:val="35"/>
        </w:numPr>
        <w:spacing w:before="240"/>
        <w:contextualSpacing/>
      </w:pPr>
      <w:r w:rsidRPr="00423BDC">
        <w:rPr>
          <w:b/>
        </w:rPr>
        <w:t>Menaces (</w:t>
      </w:r>
      <w:r w:rsidRPr="00423BDC">
        <w:rPr>
          <w:b/>
          <w:i/>
        </w:rPr>
        <w:t>threats</w:t>
      </w:r>
      <w:r w:rsidRPr="00423BDC">
        <w:rPr>
          <w:b/>
        </w:rPr>
        <w:t>) :</w:t>
      </w:r>
      <w:r w:rsidRPr="00423BDC">
        <w:t xml:space="preserve"> événements d'origine humaine ou naturelle qui peuvent provoquer des effets néfastes sur les systèmes et les informations lorsqu'ils sont combinés à des vulnérabilités spécifiques ;</w:t>
      </w:r>
    </w:p>
    <w:p w14:paraId="45DE3E2B" w14:textId="77777777" w:rsidR="00423BDC" w:rsidRPr="00423BDC" w:rsidRDefault="00423BDC" w:rsidP="00423BDC">
      <w:pPr>
        <w:numPr>
          <w:ilvl w:val="0"/>
          <w:numId w:val="35"/>
        </w:numPr>
        <w:spacing w:before="240"/>
        <w:contextualSpacing/>
      </w:pPr>
      <w:r w:rsidRPr="00423BDC">
        <w:rPr>
          <w:b/>
        </w:rPr>
        <w:t>Impact / conséquences / perte de valeur (</w:t>
      </w:r>
      <w:r w:rsidRPr="00423BDC">
        <w:rPr>
          <w:b/>
          <w:i/>
        </w:rPr>
        <w:t>loss in values</w:t>
      </w:r>
      <w:r w:rsidRPr="00423BDC">
        <w:rPr>
          <w:b/>
        </w:rPr>
        <w:t>) :</w:t>
      </w:r>
      <w:r w:rsidRPr="00423BDC">
        <w:t xml:space="preserve"> Saffady (2020) définit la conséquence comme un résultat négatif résultant de l’exploitation d’une vulnérabilité par une menace. L'impact d'un risque se reflète dans sa gravité, c'est-à-dire l'intensité de la menace / des dommages potentiels (Merna &amp; Al-Thani 2008), qui peut être interprétée comme le produit de la fraction de la collection susceptible d'être menacée et de la perte de valeur potentielle de la collection (Waller 2013). La perte de valeur peut être définie comme la réduction de la valeur de l'actif informationnel s'il était compromis (Waller 1994 ; Mattord &amp; Wiant 2008) ;</w:t>
      </w:r>
    </w:p>
    <w:p w14:paraId="7A03C458" w14:textId="77777777" w:rsidR="00423BDC" w:rsidRPr="00423BDC" w:rsidRDefault="00423BDC" w:rsidP="00423BDC">
      <w:pPr>
        <w:numPr>
          <w:ilvl w:val="0"/>
          <w:numId w:val="35"/>
        </w:numPr>
        <w:spacing w:before="240"/>
        <w:contextualSpacing/>
      </w:pPr>
      <w:r w:rsidRPr="00423BDC">
        <w:rPr>
          <w:b/>
        </w:rPr>
        <w:t>Niveaux de risque (</w:t>
      </w:r>
      <w:r w:rsidRPr="00423BDC">
        <w:rPr>
          <w:b/>
          <w:i/>
        </w:rPr>
        <w:t>risk magnitude</w:t>
      </w:r>
      <w:r w:rsidRPr="00423BDC">
        <w:rPr>
          <w:b/>
        </w:rPr>
        <w:t>) :</w:t>
      </w:r>
      <w:r w:rsidRPr="00423BDC">
        <w:t xml:space="preserve"> Cela correspond à l’« importance d'un risque exprimée en termes de combinaison des conséquences et de leur vraisemblance (Organisation internationale de normalisation 2018). Elle peut être calculée comme suit (Waller 1994, 2013 ; Bülow 2010) : Probabilité x Étendue x Fraction susceptible x Perte de valeur.</w:t>
      </w:r>
    </w:p>
    <w:p w14:paraId="7D90642B" w14:textId="77777777" w:rsidR="00423BDC" w:rsidRPr="00423BDC" w:rsidRDefault="00423BDC" w:rsidP="00423BDC">
      <w:pPr>
        <w:keepNext/>
        <w:keepLines/>
        <w:spacing w:before="200"/>
        <w:outlineLvl w:val="2"/>
        <w:rPr>
          <w:bCs/>
          <w:u w:val="single"/>
        </w:rPr>
      </w:pPr>
      <w:r w:rsidRPr="00423BDC">
        <w:rPr>
          <w:bCs/>
          <w:u w:val="single"/>
        </w:rPr>
        <w:t>Traitement du risque</w:t>
      </w:r>
    </w:p>
    <w:p w14:paraId="275FBDBC" w14:textId="77777777" w:rsidR="00423BDC" w:rsidRPr="00423BDC" w:rsidRDefault="00423BDC" w:rsidP="00423BDC">
      <w:pPr>
        <w:keepNext/>
        <w:keepLines/>
      </w:pPr>
      <w:r w:rsidRPr="00423BDC">
        <w:t>Les traitements du risque correspondent aux moyens d'atténuation :</w:t>
      </w:r>
    </w:p>
    <w:p w14:paraId="1EFE8F5E" w14:textId="77777777" w:rsidR="00423BDC" w:rsidRPr="00423BDC" w:rsidRDefault="00423BDC" w:rsidP="00423BDC">
      <w:pPr>
        <w:keepNext/>
        <w:keepLines/>
        <w:numPr>
          <w:ilvl w:val="0"/>
          <w:numId w:val="36"/>
        </w:numPr>
        <w:contextualSpacing/>
      </w:pPr>
      <w:r w:rsidRPr="00423BDC">
        <w:t>Les options de traitement du risque (</w:t>
      </w:r>
      <w:r w:rsidRPr="00423BDC">
        <w:rPr>
          <w:i/>
        </w:rPr>
        <w:t>risk treatment options</w:t>
      </w:r>
      <w:r w:rsidRPr="00423BDC">
        <w:t>) : correspondent aux différentes possibilités de traitement du risque, comme la réduction, le maintien, le refus ou le transfert du risque.</w:t>
      </w:r>
    </w:p>
    <w:p w14:paraId="26CEDA39" w14:textId="77777777" w:rsidR="00423BDC" w:rsidRPr="00423BDC" w:rsidRDefault="00423BDC" w:rsidP="00423BDC">
      <w:pPr>
        <w:numPr>
          <w:ilvl w:val="0"/>
          <w:numId w:val="36"/>
        </w:numPr>
        <w:contextualSpacing/>
      </w:pPr>
      <w:r w:rsidRPr="00423BDC">
        <w:t>Les contrôles existants (</w:t>
      </w:r>
      <w:r w:rsidRPr="00423BDC">
        <w:rPr>
          <w:i/>
        </w:rPr>
        <w:t>existing controls</w:t>
      </w:r>
      <w:r w:rsidRPr="00423BDC">
        <w:t>) : éléments de sauvegarde du risque déjà en place avant le processus de gestion du risque (ISO 27005).</w:t>
      </w:r>
    </w:p>
    <w:p w14:paraId="689684B6" w14:textId="77777777" w:rsidR="00423BDC" w:rsidRPr="00423BDC" w:rsidRDefault="00423BDC" w:rsidP="00423BDC">
      <w:pPr>
        <w:numPr>
          <w:ilvl w:val="0"/>
          <w:numId w:val="36"/>
        </w:numPr>
        <w:contextualSpacing/>
      </w:pPr>
      <w:r w:rsidRPr="00423BDC">
        <w:t>Risques résiduels (</w:t>
      </w:r>
      <w:r w:rsidRPr="00423BDC">
        <w:rPr>
          <w:i/>
        </w:rPr>
        <w:t>residual risks</w:t>
      </w:r>
      <w:r w:rsidRPr="00423BDC">
        <w:t>) : risque restant après le traitement du risque (Organisation internationale de normalisation 2018) ; généralement faible, il est toléré car un traitement supplémentaire n'aurait aucun effet ou à un coût trop élevé (Sutton 2014).</w:t>
      </w:r>
    </w:p>
    <w:p w14:paraId="716E294F" w14:textId="77777777" w:rsidR="00423BDC" w:rsidRPr="00423BDC" w:rsidRDefault="00423BDC" w:rsidP="00423BDC">
      <w:pPr>
        <w:keepNext/>
        <w:keepLines/>
        <w:spacing w:before="200"/>
        <w:outlineLvl w:val="2"/>
        <w:rPr>
          <w:bCs/>
          <w:u w:val="single"/>
        </w:rPr>
      </w:pPr>
      <w:r w:rsidRPr="00423BDC">
        <w:rPr>
          <w:bCs/>
          <w:u w:val="single"/>
        </w:rPr>
        <w:t>Paramètres des actifs informationnels</w:t>
      </w:r>
    </w:p>
    <w:p w14:paraId="2A33AAD2" w14:textId="77777777" w:rsidR="00423BDC" w:rsidRPr="00423BDC" w:rsidRDefault="00423BDC" w:rsidP="00423BDC">
      <w:r w:rsidRPr="00423BDC">
        <w:t>Les actifs informationnels peuvent être caractérisés par leur</w:t>
      </w:r>
    </w:p>
    <w:p w14:paraId="1B2CFC27" w14:textId="77777777" w:rsidR="00423BDC" w:rsidRPr="00423BDC" w:rsidRDefault="00423BDC" w:rsidP="00423BDC">
      <w:pPr>
        <w:numPr>
          <w:ilvl w:val="0"/>
          <w:numId w:val="37"/>
        </w:numPr>
        <w:contextualSpacing/>
      </w:pPr>
      <w:r w:rsidRPr="00423BDC">
        <w:t>format ;</w:t>
      </w:r>
    </w:p>
    <w:p w14:paraId="27D2310C" w14:textId="77777777" w:rsidR="00423BDC" w:rsidRPr="00423BDC" w:rsidRDefault="00423BDC" w:rsidP="00423BDC">
      <w:pPr>
        <w:numPr>
          <w:ilvl w:val="0"/>
          <w:numId w:val="37"/>
        </w:numPr>
        <w:contextualSpacing/>
      </w:pPr>
      <w:r w:rsidRPr="00423BDC">
        <w:t>traitement des données ;</w:t>
      </w:r>
    </w:p>
    <w:p w14:paraId="45B05AC6" w14:textId="77777777" w:rsidR="00423BDC" w:rsidRPr="00423BDC" w:rsidRDefault="00423BDC" w:rsidP="00423BDC">
      <w:pPr>
        <w:numPr>
          <w:ilvl w:val="0"/>
          <w:numId w:val="37"/>
        </w:numPr>
        <w:contextualSpacing/>
      </w:pPr>
      <w:r w:rsidRPr="00423BDC">
        <w:t>emplacement ;</w:t>
      </w:r>
    </w:p>
    <w:p w14:paraId="1997275D" w14:textId="77777777" w:rsidR="00423BDC" w:rsidRPr="00423BDC" w:rsidRDefault="00423BDC" w:rsidP="00423BDC">
      <w:pPr>
        <w:numPr>
          <w:ilvl w:val="0"/>
          <w:numId w:val="37"/>
        </w:numPr>
        <w:contextualSpacing/>
      </w:pPr>
      <w:r w:rsidRPr="00423BDC">
        <w:t>propriétaire ;</w:t>
      </w:r>
    </w:p>
    <w:p w14:paraId="56CDCE8F" w14:textId="77777777" w:rsidR="00423BDC" w:rsidRPr="00423BDC" w:rsidRDefault="00423BDC" w:rsidP="00423BDC">
      <w:pPr>
        <w:numPr>
          <w:ilvl w:val="0"/>
          <w:numId w:val="37"/>
        </w:numPr>
        <w:contextualSpacing/>
      </w:pPr>
      <w:r w:rsidRPr="00423BDC">
        <w:t>les informations qu'ils contiennent.</w:t>
      </w:r>
    </w:p>
    <w:p w14:paraId="307A317F" w14:textId="77777777" w:rsidR="00423BDC" w:rsidRPr="00423BDC" w:rsidRDefault="00423BDC" w:rsidP="00423BDC">
      <w:pPr>
        <w:keepNext/>
        <w:keepLines/>
        <w:spacing w:before="200"/>
        <w:outlineLvl w:val="2"/>
        <w:rPr>
          <w:bCs/>
          <w:u w:val="single"/>
        </w:rPr>
      </w:pPr>
      <w:r w:rsidRPr="00423BDC">
        <w:rPr>
          <w:bCs/>
          <w:u w:val="single"/>
        </w:rPr>
        <w:t>Information</w:t>
      </w:r>
    </w:p>
    <w:p w14:paraId="5AC99E0A" w14:textId="77777777" w:rsidR="00423BDC" w:rsidRPr="00423BDC" w:rsidRDefault="00423BDC" w:rsidP="00423BDC">
      <w:pPr>
        <w:keepNext/>
        <w:keepLines/>
        <w:spacing w:before="200" w:after="120"/>
        <w:outlineLvl w:val="3"/>
        <w:rPr>
          <w:bCs/>
          <w:i/>
          <w:iCs/>
        </w:rPr>
      </w:pPr>
      <w:r w:rsidRPr="00423BDC">
        <w:rPr>
          <w:bCs/>
          <w:i/>
          <w:iCs/>
        </w:rPr>
        <w:t>Attributs</w:t>
      </w:r>
    </w:p>
    <w:p w14:paraId="03C0DBB9" w14:textId="77777777" w:rsidR="00423BDC" w:rsidRPr="00423BDC" w:rsidRDefault="00423BDC" w:rsidP="00423BDC">
      <w:r w:rsidRPr="00423BDC">
        <w:t>Ces attributs correspondent aux cinq grandes familles d'informations listées par Perrein (2014) :</w:t>
      </w:r>
    </w:p>
    <w:p w14:paraId="18BA05E0" w14:textId="77777777" w:rsidR="00423BDC" w:rsidRPr="00423BDC" w:rsidRDefault="00423BDC" w:rsidP="00423BDC">
      <w:pPr>
        <w:numPr>
          <w:ilvl w:val="0"/>
          <w:numId w:val="38"/>
        </w:numPr>
        <w:contextualSpacing/>
      </w:pPr>
      <w:r w:rsidRPr="00423BDC">
        <w:rPr>
          <w:b/>
        </w:rPr>
        <w:t>Information engageante</w:t>
      </w:r>
      <w:r w:rsidRPr="00423BDC">
        <w:t>, destinée à être utilisée comme preuve dans un litige ;</w:t>
      </w:r>
    </w:p>
    <w:p w14:paraId="338028A9" w14:textId="77777777" w:rsidR="00423BDC" w:rsidRPr="00423BDC" w:rsidRDefault="00423BDC" w:rsidP="00423BDC">
      <w:pPr>
        <w:numPr>
          <w:ilvl w:val="0"/>
          <w:numId w:val="38"/>
        </w:numPr>
        <w:contextualSpacing/>
      </w:pPr>
      <w:r w:rsidRPr="00423BDC">
        <w:rPr>
          <w:b/>
        </w:rPr>
        <w:t>Information patrimoine</w:t>
      </w:r>
      <w:r w:rsidRPr="00423BDC">
        <w:t>, qui détient une valeur historique pour l'organisation ;</w:t>
      </w:r>
    </w:p>
    <w:p w14:paraId="56A49D68" w14:textId="77777777" w:rsidR="00423BDC" w:rsidRPr="00423BDC" w:rsidRDefault="00423BDC" w:rsidP="00423BDC">
      <w:pPr>
        <w:numPr>
          <w:ilvl w:val="0"/>
          <w:numId w:val="38"/>
        </w:numPr>
        <w:contextualSpacing/>
      </w:pPr>
      <w:r w:rsidRPr="00423BDC">
        <w:rPr>
          <w:b/>
        </w:rPr>
        <w:t>Information structurante</w:t>
      </w:r>
      <w:r w:rsidRPr="00423BDC">
        <w:t>, utilisée pour classer d'autres informations ;</w:t>
      </w:r>
    </w:p>
    <w:p w14:paraId="04377999" w14:textId="77777777" w:rsidR="00423BDC" w:rsidRPr="00423BDC" w:rsidRDefault="00423BDC" w:rsidP="00423BDC">
      <w:pPr>
        <w:numPr>
          <w:ilvl w:val="0"/>
          <w:numId w:val="38"/>
        </w:numPr>
        <w:contextualSpacing/>
      </w:pPr>
      <w:r w:rsidRPr="00423BDC">
        <w:rPr>
          <w:b/>
        </w:rPr>
        <w:t>Information personnelle</w:t>
      </w:r>
      <w:r w:rsidRPr="00423BDC">
        <w:t>, qui permet d'identifier une personne physique et est protégée par des lois et règlements visant à protéger les données personnelles (par exemple, la LPD en Suisse et le RGPD dans l'UE) ;</w:t>
      </w:r>
    </w:p>
    <w:p w14:paraId="5F409BC0" w14:textId="77777777" w:rsidR="00423BDC" w:rsidRPr="00423BDC" w:rsidRDefault="00423BDC" w:rsidP="00423BDC">
      <w:pPr>
        <w:numPr>
          <w:ilvl w:val="0"/>
          <w:numId w:val="38"/>
        </w:numPr>
        <w:contextualSpacing/>
      </w:pPr>
      <w:r w:rsidRPr="00423BDC">
        <w:rPr>
          <w:b/>
        </w:rPr>
        <w:lastRenderedPageBreak/>
        <w:t>Informations sensible</w:t>
      </w:r>
      <w:r w:rsidRPr="00423BDC">
        <w:t>, qui comprend des données clés pour les organisations, comme les brevets, et qui doit rester confidentielle.</w:t>
      </w:r>
    </w:p>
    <w:p w14:paraId="4CA4054B" w14:textId="77777777" w:rsidR="00423BDC" w:rsidRPr="00423BDC" w:rsidRDefault="00423BDC" w:rsidP="00423BDC">
      <w:pPr>
        <w:keepNext/>
        <w:keepLines/>
        <w:spacing w:before="200" w:after="120"/>
        <w:outlineLvl w:val="3"/>
        <w:rPr>
          <w:bCs/>
          <w:i/>
          <w:iCs/>
        </w:rPr>
      </w:pPr>
      <w:r w:rsidRPr="00423BDC">
        <w:rPr>
          <w:bCs/>
          <w:i/>
          <w:iCs/>
        </w:rPr>
        <w:t>Propriétés</w:t>
      </w:r>
    </w:p>
    <w:p w14:paraId="4B6BE157" w14:textId="77777777" w:rsidR="00423BDC" w:rsidRPr="00423BDC" w:rsidRDefault="00423BDC" w:rsidP="00423BDC">
      <w:r w:rsidRPr="00423BDC">
        <w:t>Chai (2021) présente la triade CIA comme « un modèle conçu pour guider les politiques de sécurité de l'information au sein d'une organisation. [...] Les éléments de la triade sont considérés comme les trois composantes les plus cruciales de la sécurité ». Les initiales CIA représentent les mots Confidentialité (</w:t>
      </w:r>
      <w:r w:rsidRPr="00423BDC">
        <w:rPr>
          <w:i/>
        </w:rPr>
        <w:t>Confidentiality</w:t>
      </w:r>
      <w:r w:rsidRPr="00423BDC">
        <w:t>), Intégrité (</w:t>
      </w:r>
      <w:r w:rsidRPr="00423BDC">
        <w:rPr>
          <w:i/>
        </w:rPr>
        <w:t>Integrity</w:t>
      </w:r>
      <w:r w:rsidRPr="00423BDC">
        <w:t>) et Disponibilité (</w:t>
      </w:r>
      <w:r w:rsidRPr="00423BDC">
        <w:rPr>
          <w:i/>
        </w:rPr>
        <w:t>Availability</w:t>
      </w:r>
      <w:r w:rsidRPr="00423BDC">
        <w:t>). Raggad (2010) rajoute trois éléments supplémentaires pour compléter la triade :</w:t>
      </w:r>
    </w:p>
    <w:p w14:paraId="04B0B14F" w14:textId="77777777" w:rsidR="00423BDC" w:rsidRPr="00423BDC" w:rsidRDefault="00423BDC" w:rsidP="00423BDC">
      <w:pPr>
        <w:numPr>
          <w:ilvl w:val="0"/>
          <w:numId w:val="39"/>
        </w:numPr>
        <w:contextualSpacing/>
      </w:pPr>
      <w:r w:rsidRPr="00423BDC">
        <w:rPr>
          <w:b/>
        </w:rPr>
        <w:t>authentification</w:t>
      </w:r>
      <w:r w:rsidRPr="00423BDC">
        <w:t>, c’est-à-dire un mécanisme conçu pour vérifier l'identité d'un agent, humain ou système, avant de lui accorder l'accès ou non</w:t>
      </w:r>
    </w:p>
    <w:p w14:paraId="098EC9FE" w14:textId="77777777" w:rsidR="00423BDC" w:rsidRPr="00423BDC" w:rsidRDefault="00423BDC" w:rsidP="00423BDC">
      <w:pPr>
        <w:numPr>
          <w:ilvl w:val="0"/>
          <w:numId w:val="39"/>
        </w:numPr>
        <w:contextualSpacing/>
      </w:pPr>
      <w:r w:rsidRPr="00423BDC">
        <w:rPr>
          <w:b/>
        </w:rPr>
        <w:t>non-répudiation</w:t>
      </w:r>
      <w:r w:rsidRPr="00423BDC">
        <w:t>, il s'agit de s'assurer que les deux parties ne peuvent nier avoir bien participé à la transmission, l'expéditeur en envoyant le message et le destinataire en le recevant</w:t>
      </w:r>
    </w:p>
    <w:p w14:paraId="45E7C1C8" w14:textId="77777777" w:rsidR="00423BDC" w:rsidRPr="00423BDC" w:rsidRDefault="00423BDC" w:rsidP="00423BDC">
      <w:pPr>
        <w:numPr>
          <w:ilvl w:val="0"/>
          <w:numId w:val="39"/>
        </w:numPr>
        <w:contextualSpacing/>
      </w:pPr>
      <w:r w:rsidRPr="00423BDC">
        <w:rPr>
          <w:b/>
        </w:rPr>
        <w:t>le concept de risque</w:t>
      </w:r>
      <w:r w:rsidRPr="00423BDC">
        <w:t>.</w:t>
      </w:r>
    </w:p>
    <w:p w14:paraId="6701EB72" w14:textId="77777777" w:rsidR="00423BDC" w:rsidRPr="00423BDC" w:rsidRDefault="00423BDC" w:rsidP="00423BDC">
      <w:pPr>
        <w:keepNext/>
        <w:keepLines/>
        <w:spacing w:before="200" w:after="120"/>
        <w:outlineLvl w:val="3"/>
        <w:rPr>
          <w:bCs/>
          <w:i/>
          <w:iCs/>
        </w:rPr>
      </w:pPr>
      <w:r w:rsidRPr="00423BDC">
        <w:rPr>
          <w:bCs/>
          <w:i/>
          <w:iCs/>
        </w:rPr>
        <w:t>Objectifs</w:t>
      </w:r>
    </w:p>
    <w:p w14:paraId="4FB273CB" w14:textId="77777777" w:rsidR="00423BDC" w:rsidRPr="00423BDC" w:rsidRDefault="00423BDC" w:rsidP="00423BDC">
      <w:r w:rsidRPr="00423BDC">
        <w:t>Il s'agit de s'intéresser aux objectifs des actifs informationnels, car la « plupart des auteurs soulignent que l'information a la caractéristique d'"être utile" (Machlup, 1983), "pertinente" (Introna, 1997) ou "d'avoir un effet sur l'action et les décisions" (Kuhlen, 1991, 2004 ; Meadow &amp; Yuan, 1997) » (Boell et Cecez-Kecmanovic 2010).</w:t>
      </w:r>
    </w:p>
    <w:p w14:paraId="0C11047F" w14:textId="77777777" w:rsidR="00423BDC" w:rsidRPr="00423BDC" w:rsidRDefault="00423BDC" w:rsidP="00423BDC">
      <w:pPr>
        <w:keepNext/>
        <w:keepLines/>
        <w:spacing w:before="200" w:after="120"/>
        <w:outlineLvl w:val="3"/>
        <w:rPr>
          <w:bCs/>
          <w:i/>
          <w:iCs/>
        </w:rPr>
      </w:pPr>
      <w:r w:rsidRPr="00423BDC">
        <w:rPr>
          <w:bCs/>
          <w:i/>
          <w:iCs/>
        </w:rPr>
        <w:t>Valeur</w:t>
      </w:r>
    </w:p>
    <w:p w14:paraId="03E63623" w14:textId="77777777" w:rsidR="00423BDC" w:rsidRPr="00423BDC" w:rsidRDefault="00423BDC" w:rsidP="00423BDC">
      <w:r w:rsidRPr="00423BDC">
        <w:t>Il s'agit de la valeur attribuée à l'information produite ou acquise par les organisations et fournie sous la forme d'un produit ou d'un service. L'information n'a pas de valeur propre. Elle dépend du contexte, de l'utilisation et de l'objectif de l'information et de la manière dont elle a été obtenue (Maravilhas 2015).</w:t>
      </w:r>
    </w:p>
    <w:p w14:paraId="25C974AA" w14:textId="644E253B" w:rsidR="001339D9" w:rsidRDefault="001339D9" w:rsidP="00E05747">
      <w:pPr>
        <w:pStyle w:val="Titre1"/>
        <w:rPr>
          <w:lang w:val="fr-CH"/>
        </w:rPr>
      </w:pPr>
      <w:r>
        <w:rPr>
          <w:lang w:val="fr-CH"/>
        </w:rPr>
        <w:t>Outils</w:t>
      </w:r>
    </w:p>
    <w:p w14:paraId="25B5AC75" w14:textId="34AC3732" w:rsidR="001339D9" w:rsidRPr="001339D9" w:rsidRDefault="001339D9" w:rsidP="001339D9">
      <w:pPr>
        <w:pStyle w:val="Titre2"/>
      </w:pPr>
      <w:r w:rsidRPr="001339D9">
        <w:t xml:space="preserve">Politique de </w:t>
      </w:r>
      <w:r w:rsidR="005A772C">
        <w:t>gouvernance informationnelle</w:t>
      </w:r>
    </w:p>
    <w:p w14:paraId="5F173AA3" w14:textId="3BCD04A4" w:rsidR="001339D9" w:rsidRDefault="001339D9" w:rsidP="001339D9">
      <w:pPr>
        <w:pStyle w:val="CorpsTexte"/>
        <w:rPr>
          <w:lang w:val="fr-CH"/>
        </w:rPr>
      </w:pPr>
      <w:r w:rsidRPr="001339D9">
        <w:rPr>
          <w:lang w:val="fr-CH"/>
        </w:rPr>
        <w:t>Document directeur élaboré à partir d’une concertation collective impliquant plusieurs acteurs, dans lequel sont formalisés les objectifs, les règles, les processus, les dispositifs nécessaires à l’optimisation de la gestion performante de l’ensemble des ressources informationnelles de l'organisation (ARMA International, 2012; Perrein, 2013; Makhlouf Sabou, 2018)</w:t>
      </w:r>
    </w:p>
    <w:p w14:paraId="4337D7C0" w14:textId="388C7446" w:rsidR="005A772C" w:rsidRDefault="005A772C" w:rsidP="005A772C">
      <w:pPr>
        <w:pStyle w:val="Titre3"/>
        <w:rPr>
          <w:lang w:val="fr-CH"/>
        </w:rPr>
      </w:pPr>
      <w:r w:rsidRPr="005A772C">
        <w:rPr>
          <w:lang w:val="fr-CH"/>
        </w:rPr>
        <w:lastRenderedPageBreak/>
        <w:t>Conception d’une politique de gouvernance informationnelle</w:t>
      </w:r>
    </w:p>
    <w:p w14:paraId="4E55A4C5" w14:textId="2CDA21FA" w:rsidR="005A772C" w:rsidRDefault="005A772C" w:rsidP="005A772C">
      <w:pPr>
        <w:pStyle w:val="CorpsTexte"/>
        <w:jc w:val="center"/>
        <w:rPr>
          <w:lang w:val="fr-CH"/>
        </w:rPr>
      </w:pPr>
      <w:r>
        <w:rPr>
          <w:noProof/>
          <w:lang w:val="fr-CH" w:eastAsia="fr-CH"/>
        </w:rPr>
        <w:drawing>
          <wp:inline distT="0" distB="0" distL="0" distR="0" wp14:anchorId="643C3C6B" wp14:editId="78E6FBB2">
            <wp:extent cx="4980940" cy="44811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0940" cy="4481195"/>
                    </a:xfrm>
                    <a:prstGeom prst="rect">
                      <a:avLst/>
                    </a:prstGeom>
                    <a:noFill/>
                  </pic:spPr>
                </pic:pic>
              </a:graphicData>
            </a:graphic>
          </wp:inline>
        </w:drawing>
      </w:r>
    </w:p>
    <w:p w14:paraId="47563396" w14:textId="02338868" w:rsidR="005A772C" w:rsidRPr="005A772C" w:rsidRDefault="005A772C" w:rsidP="005A772C">
      <w:pPr>
        <w:pStyle w:val="CorpsTexte"/>
        <w:jc w:val="right"/>
        <w:rPr>
          <w:sz w:val="20"/>
          <w:szCs w:val="20"/>
          <w:lang w:val="fr-CH"/>
        </w:rPr>
      </w:pPr>
      <w:r w:rsidRPr="005A772C">
        <w:rPr>
          <w:sz w:val="20"/>
          <w:szCs w:val="20"/>
          <w:lang w:val="fr-CH"/>
        </w:rPr>
        <w:t>(Makhlouf Shabou 2018)</w:t>
      </w:r>
    </w:p>
    <w:p w14:paraId="4A0E73F7" w14:textId="77777777" w:rsidR="005A772C" w:rsidRPr="005A772C" w:rsidRDefault="005A772C" w:rsidP="005A772C">
      <w:pPr>
        <w:pStyle w:val="Titre4"/>
      </w:pPr>
      <w:r w:rsidRPr="005A772C">
        <w:t>Conception</w:t>
      </w:r>
    </w:p>
    <w:p w14:paraId="2783B49B" w14:textId="77777777" w:rsidR="005A772C" w:rsidRPr="005A772C" w:rsidRDefault="005A772C" w:rsidP="00423BDC">
      <w:pPr>
        <w:pStyle w:val="CorpsTexte"/>
        <w:numPr>
          <w:ilvl w:val="0"/>
          <w:numId w:val="10"/>
        </w:numPr>
      </w:pPr>
      <w:r w:rsidRPr="005A772C">
        <w:rPr>
          <w:b/>
        </w:rPr>
        <w:t>identifier les buts de la politique</w:t>
      </w:r>
      <w:r w:rsidRPr="005A772C">
        <w:t xml:space="preserve"> afin d'établir une vision commune de la gouvernance en accord avec les politiques de l'institution qui servira de cadre de référence tout au long du processus de mise en place de la politique</w:t>
      </w:r>
    </w:p>
    <w:p w14:paraId="02B46B0A" w14:textId="77777777" w:rsidR="005A772C" w:rsidRPr="005A772C" w:rsidRDefault="005A772C" w:rsidP="00423BDC">
      <w:pPr>
        <w:pStyle w:val="CorpsTexte"/>
        <w:numPr>
          <w:ilvl w:val="0"/>
          <w:numId w:val="10"/>
        </w:numPr>
      </w:pPr>
      <w:r w:rsidRPr="005A772C">
        <w:rPr>
          <w:b/>
        </w:rPr>
        <w:t>recenser les politiques internes de l'institution et les PGI d'autres institutions similaires</w:t>
      </w:r>
      <w:r w:rsidRPr="005A772C">
        <w:t xml:space="preserve"> afin d'harmoniser la politique avec son contexte d'application</w:t>
      </w:r>
    </w:p>
    <w:p w14:paraId="5E7B121B" w14:textId="77777777" w:rsidR="005A772C" w:rsidRPr="005A772C" w:rsidRDefault="005A772C" w:rsidP="00423BDC">
      <w:pPr>
        <w:pStyle w:val="CorpsTexte"/>
        <w:numPr>
          <w:ilvl w:val="0"/>
          <w:numId w:val="10"/>
        </w:numPr>
      </w:pPr>
      <w:r w:rsidRPr="005A772C">
        <w:t>adapter le contenu de la politique à l'organisation :</w:t>
      </w:r>
    </w:p>
    <w:p w14:paraId="32728DD9" w14:textId="77777777" w:rsidR="005A772C" w:rsidRPr="005A772C" w:rsidRDefault="005A772C" w:rsidP="00423BDC">
      <w:pPr>
        <w:pStyle w:val="CorpsTexte"/>
        <w:numPr>
          <w:ilvl w:val="1"/>
          <w:numId w:val="10"/>
        </w:numPr>
      </w:pPr>
      <w:r w:rsidRPr="005A772C">
        <w:t>déterminer le public cible (utilisateurs internes et externes de l'information institutionnelle)</w:t>
      </w:r>
    </w:p>
    <w:p w14:paraId="6FB887DC" w14:textId="77777777" w:rsidR="005A772C" w:rsidRPr="005A772C" w:rsidRDefault="005A772C" w:rsidP="00423BDC">
      <w:pPr>
        <w:pStyle w:val="CorpsTexte"/>
        <w:numPr>
          <w:ilvl w:val="1"/>
          <w:numId w:val="10"/>
        </w:numPr>
      </w:pPr>
      <w:r w:rsidRPr="005A772C">
        <w:t>identifier les collaborateurs clés de l'organisation et leur attribuer des responsabilités</w:t>
      </w:r>
    </w:p>
    <w:p w14:paraId="1540EE72" w14:textId="77777777" w:rsidR="005A772C" w:rsidRPr="005A772C" w:rsidRDefault="005A772C" w:rsidP="00423BDC">
      <w:pPr>
        <w:pStyle w:val="CorpsTexte"/>
        <w:numPr>
          <w:ilvl w:val="1"/>
          <w:numId w:val="10"/>
        </w:numPr>
      </w:pPr>
      <w:r w:rsidRPr="005A772C">
        <w:t>repérer les ressources (humaines, financières, matérielles, logistiques et informatiques) nécessaires</w:t>
      </w:r>
    </w:p>
    <w:p w14:paraId="77085810" w14:textId="77777777" w:rsidR="005A772C" w:rsidRPr="005A772C" w:rsidRDefault="005A772C" w:rsidP="00423BDC">
      <w:pPr>
        <w:pStyle w:val="CorpsTexte"/>
        <w:numPr>
          <w:ilvl w:val="0"/>
          <w:numId w:val="10"/>
        </w:numPr>
      </w:pPr>
      <w:r w:rsidRPr="005A772C">
        <w:t>écriture de la politique selon un processus délibératif afin que le contenu reflète les buts et les attentes de l'ensemble des acteurs de la gouvernance</w:t>
      </w:r>
    </w:p>
    <w:p w14:paraId="1627570D" w14:textId="77777777" w:rsidR="005A772C" w:rsidRPr="005A772C" w:rsidRDefault="005A772C" w:rsidP="005A772C">
      <w:pPr>
        <w:pStyle w:val="Titre4"/>
      </w:pPr>
      <w:r w:rsidRPr="005A772C">
        <w:t>Test et validation</w:t>
      </w:r>
    </w:p>
    <w:p w14:paraId="7E433D4C" w14:textId="77777777" w:rsidR="005A772C" w:rsidRPr="005A772C" w:rsidRDefault="005A772C" w:rsidP="005A772C">
      <w:pPr>
        <w:pStyle w:val="CorpsTexte"/>
      </w:pPr>
      <w:r w:rsidRPr="005A772C">
        <w:t>La validation de la politique s’effectue en deux volets :</w:t>
      </w:r>
    </w:p>
    <w:p w14:paraId="749399EC" w14:textId="77777777" w:rsidR="005A772C" w:rsidRPr="005A772C" w:rsidRDefault="005A772C" w:rsidP="00423BDC">
      <w:pPr>
        <w:pStyle w:val="CorpsTexte"/>
        <w:numPr>
          <w:ilvl w:val="0"/>
          <w:numId w:val="15"/>
        </w:numPr>
      </w:pPr>
      <w:r w:rsidRPr="005A772C">
        <w:t>test et retours des utilisateurs</w:t>
      </w:r>
    </w:p>
    <w:p w14:paraId="5D84E2C0" w14:textId="77777777" w:rsidR="005A772C" w:rsidRPr="005A772C" w:rsidRDefault="005A772C" w:rsidP="00423BDC">
      <w:pPr>
        <w:pStyle w:val="CorpsTexte"/>
        <w:numPr>
          <w:ilvl w:val="0"/>
          <w:numId w:val="11"/>
        </w:numPr>
      </w:pPr>
      <w:r w:rsidRPr="005A772C">
        <w:lastRenderedPageBreak/>
        <w:t>validation de la version finale par la hiérarchie :</w:t>
      </w:r>
    </w:p>
    <w:p w14:paraId="4DFBCEDE" w14:textId="77777777" w:rsidR="005A772C" w:rsidRPr="005A772C" w:rsidRDefault="005A772C" w:rsidP="00423BDC">
      <w:pPr>
        <w:pStyle w:val="CorpsTexte"/>
        <w:numPr>
          <w:ilvl w:val="1"/>
          <w:numId w:val="11"/>
        </w:numPr>
      </w:pPr>
      <w:r w:rsidRPr="005A772C">
        <w:t>l’instance responsable du mandat de réalisation</w:t>
      </w:r>
    </w:p>
    <w:p w14:paraId="503C02CC" w14:textId="77777777" w:rsidR="005A772C" w:rsidRPr="005A772C" w:rsidRDefault="005A772C" w:rsidP="00423BDC">
      <w:pPr>
        <w:pStyle w:val="CorpsTexte"/>
        <w:numPr>
          <w:ilvl w:val="1"/>
          <w:numId w:val="11"/>
        </w:numPr>
      </w:pPr>
      <w:r w:rsidRPr="005A772C">
        <w:t>la direction</w:t>
      </w:r>
    </w:p>
    <w:p w14:paraId="29443862" w14:textId="77777777" w:rsidR="005A772C" w:rsidRPr="005A772C" w:rsidRDefault="005A772C" w:rsidP="005A772C">
      <w:pPr>
        <w:pStyle w:val="Titre4"/>
      </w:pPr>
      <w:r w:rsidRPr="005A772C">
        <w:t>Communication</w:t>
      </w:r>
    </w:p>
    <w:p w14:paraId="3933CD23" w14:textId="77777777" w:rsidR="005A772C" w:rsidRPr="005A772C" w:rsidRDefault="005A772C" w:rsidP="005A772C">
      <w:pPr>
        <w:pStyle w:val="CorpsTexte"/>
      </w:pPr>
      <w:r w:rsidRPr="005A772C">
        <w:t xml:space="preserve">Une campagne de communication et de formation doit être mise en place afin d'aider à la </w:t>
      </w:r>
      <w:r w:rsidRPr="005A772C">
        <w:rPr>
          <w:b/>
        </w:rPr>
        <w:t>gestion du changement</w:t>
      </w:r>
      <w:r w:rsidRPr="005A772C">
        <w:t xml:space="preserve"> en créant une </w:t>
      </w:r>
      <w:r w:rsidRPr="005A772C">
        <w:rPr>
          <w:b/>
        </w:rPr>
        <w:t>culture de la gouvernance informationnelle</w:t>
      </w:r>
      <w:r w:rsidRPr="005A772C">
        <w:t xml:space="preserve"> adoptée par les employés et intégrée dans leurs tâches de tous les jours.</w:t>
      </w:r>
    </w:p>
    <w:p w14:paraId="135180C6" w14:textId="77777777" w:rsidR="005A772C" w:rsidRPr="005A772C" w:rsidRDefault="005A772C" w:rsidP="005A772C">
      <w:pPr>
        <w:pStyle w:val="CorpsTexte"/>
      </w:pPr>
      <w:r w:rsidRPr="005A772C">
        <w:t>Deux outils principaux :</w:t>
      </w:r>
    </w:p>
    <w:p w14:paraId="38C5E33A" w14:textId="77777777" w:rsidR="005A772C" w:rsidRPr="005A772C" w:rsidRDefault="005A772C" w:rsidP="00423BDC">
      <w:pPr>
        <w:pStyle w:val="CorpsTexte"/>
        <w:numPr>
          <w:ilvl w:val="0"/>
          <w:numId w:val="12"/>
        </w:numPr>
      </w:pPr>
      <w:r w:rsidRPr="005A772C">
        <w:t>Plan de communication</w:t>
      </w:r>
    </w:p>
    <w:p w14:paraId="1AAB03DC" w14:textId="77777777" w:rsidR="005A772C" w:rsidRPr="005A772C" w:rsidRDefault="005A772C" w:rsidP="00423BDC">
      <w:pPr>
        <w:pStyle w:val="CorpsTexte"/>
        <w:numPr>
          <w:ilvl w:val="1"/>
          <w:numId w:val="12"/>
        </w:numPr>
      </w:pPr>
      <w:r w:rsidRPr="005A772C">
        <w:t>segmentation du public afin d'adapter le discours</w:t>
      </w:r>
    </w:p>
    <w:p w14:paraId="2DBFD5F5" w14:textId="77777777" w:rsidR="005A772C" w:rsidRPr="005A772C" w:rsidRDefault="005A772C" w:rsidP="00423BDC">
      <w:pPr>
        <w:pStyle w:val="CorpsTexte"/>
        <w:numPr>
          <w:ilvl w:val="1"/>
          <w:numId w:val="12"/>
        </w:numPr>
      </w:pPr>
      <w:r w:rsidRPr="005A772C">
        <w:t>multicanal (bulletins internes, l’intranet, l’internet, les réseaux sociaux, les blogues internes, les courriels, les affiches promotionnelles, les réunions)</w:t>
      </w:r>
    </w:p>
    <w:p w14:paraId="337FD2F9" w14:textId="77777777" w:rsidR="005A772C" w:rsidRPr="005A772C" w:rsidRDefault="005A772C" w:rsidP="00423BDC">
      <w:pPr>
        <w:pStyle w:val="CorpsTexte"/>
        <w:numPr>
          <w:ilvl w:val="0"/>
          <w:numId w:val="12"/>
        </w:numPr>
      </w:pPr>
      <w:r w:rsidRPr="005A772C">
        <w:t>Formation</w:t>
      </w:r>
    </w:p>
    <w:p w14:paraId="49CD726C" w14:textId="77777777" w:rsidR="005A772C" w:rsidRPr="005A772C" w:rsidRDefault="005A772C" w:rsidP="00423BDC">
      <w:pPr>
        <w:pStyle w:val="CorpsTexte"/>
        <w:numPr>
          <w:ilvl w:val="1"/>
          <w:numId w:val="12"/>
        </w:numPr>
      </w:pPr>
      <w:r w:rsidRPr="005A772C">
        <w:t xml:space="preserve">individuellement et/ou en groupe </w:t>
      </w:r>
    </w:p>
    <w:p w14:paraId="69AB7C83" w14:textId="77777777" w:rsidR="005A772C" w:rsidRPr="005A772C" w:rsidRDefault="005A772C" w:rsidP="00423BDC">
      <w:pPr>
        <w:pStyle w:val="CorpsTexte"/>
        <w:numPr>
          <w:ilvl w:val="1"/>
          <w:numId w:val="12"/>
        </w:numPr>
      </w:pPr>
      <w:r w:rsidRPr="005A772C">
        <w:t>en personne et/ou en ligne</w:t>
      </w:r>
    </w:p>
    <w:p w14:paraId="72D4A147" w14:textId="77777777" w:rsidR="005A772C" w:rsidRPr="005A772C" w:rsidRDefault="005A772C" w:rsidP="005A772C">
      <w:pPr>
        <w:pStyle w:val="Titre4"/>
      </w:pPr>
      <w:r w:rsidRPr="005A772C">
        <w:t>Suivi et application</w:t>
      </w:r>
    </w:p>
    <w:p w14:paraId="623C0C03" w14:textId="77777777" w:rsidR="005A772C" w:rsidRPr="005A772C" w:rsidRDefault="005A772C" w:rsidP="005A772C">
      <w:pPr>
        <w:pStyle w:val="CorpsTexte"/>
      </w:pPr>
      <w:r w:rsidRPr="005A772C">
        <w:t xml:space="preserve">Pour le suivi et l’application de la politique, il est nécessaire d’établir un </w:t>
      </w:r>
      <w:r w:rsidRPr="005A772C">
        <w:rPr>
          <w:b/>
        </w:rPr>
        <w:t>plan d’action</w:t>
      </w:r>
      <w:r w:rsidRPr="005A772C">
        <w:t xml:space="preserve"> qui exposera les objectifs et les tâches de chaque acteur.</w:t>
      </w:r>
    </w:p>
    <w:p w14:paraId="34A5CC99" w14:textId="77777777" w:rsidR="005A772C" w:rsidRPr="005A772C" w:rsidRDefault="005A772C" w:rsidP="00423BDC">
      <w:pPr>
        <w:pStyle w:val="CorpsTexte"/>
        <w:numPr>
          <w:ilvl w:val="0"/>
          <w:numId w:val="13"/>
        </w:numPr>
      </w:pPr>
      <w:r w:rsidRPr="005A772C">
        <w:t>Les tâches doivent être :</w:t>
      </w:r>
    </w:p>
    <w:p w14:paraId="57A6C693" w14:textId="77777777" w:rsidR="005A772C" w:rsidRPr="005A772C" w:rsidRDefault="005A772C" w:rsidP="00423BDC">
      <w:pPr>
        <w:pStyle w:val="CorpsTexte"/>
        <w:numPr>
          <w:ilvl w:val="1"/>
          <w:numId w:val="13"/>
        </w:numPr>
      </w:pPr>
      <w:r w:rsidRPr="005A772C">
        <w:t>assignées selon l'expertise</w:t>
      </w:r>
    </w:p>
    <w:p w14:paraId="341CC9B3" w14:textId="77777777" w:rsidR="005A772C" w:rsidRPr="005A772C" w:rsidRDefault="005A772C" w:rsidP="00423BDC">
      <w:pPr>
        <w:pStyle w:val="CorpsTexte"/>
        <w:numPr>
          <w:ilvl w:val="1"/>
          <w:numId w:val="13"/>
        </w:numPr>
      </w:pPr>
      <w:r w:rsidRPr="005A772C">
        <w:t>intégrées aux activités quotidiennes</w:t>
      </w:r>
    </w:p>
    <w:p w14:paraId="4F7298C4" w14:textId="77777777" w:rsidR="005A772C" w:rsidRPr="005A772C" w:rsidRDefault="005A772C" w:rsidP="00423BDC">
      <w:pPr>
        <w:pStyle w:val="CorpsTexte"/>
        <w:numPr>
          <w:ilvl w:val="1"/>
          <w:numId w:val="13"/>
        </w:numPr>
      </w:pPr>
      <w:r w:rsidRPr="005A772C">
        <w:t>avalisées par la hiérarchie</w:t>
      </w:r>
    </w:p>
    <w:p w14:paraId="7A5B6EA4" w14:textId="77777777" w:rsidR="005A772C" w:rsidRPr="005A772C" w:rsidRDefault="005A772C" w:rsidP="005A772C">
      <w:pPr>
        <w:pStyle w:val="Titre4"/>
      </w:pPr>
      <w:r w:rsidRPr="005A772C">
        <w:t>Révisions et mise à jour</w:t>
      </w:r>
    </w:p>
    <w:p w14:paraId="20B088CF" w14:textId="77777777" w:rsidR="005A772C" w:rsidRPr="005A772C" w:rsidRDefault="005A772C" w:rsidP="005A772C">
      <w:pPr>
        <w:pStyle w:val="CorpsTexte"/>
      </w:pPr>
      <w:r w:rsidRPr="005A772C">
        <w:t xml:space="preserve">Afin d'évaluer l'implantation de la politique, il convient de faire des </w:t>
      </w:r>
      <w:r w:rsidRPr="005A772C">
        <w:rPr>
          <w:b/>
        </w:rPr>
        <w:t>contrôles de qualité</w:t>
      </w:r>
      <w:r w:rsidRPr="005A772C">
        <w:t xml:space="preserve"> qui nécessite de :</w:t>
      </w:r>
    </w:p>
    <w:p w14:paraId="2F7D3129" w14:textId="77777777" w:rsidR="005A772C" w:rsidRPr="005A772C" w:rsidRDefault="005A772C" w:rsidP="00423BDC">
      <w:pPr>
        <w:pStyle w:val="CorpsTexte"/>
        <w:numPr>
          <w:ilvl w:val="0"/>
          <w:numId w:val="14"/>
        </w:numPr>
      </w:pPr>
      <w:r w:rsidRPr="005A772C">
        <w:t>déterminer le niveau de suivi des principes de GD</w:t>
      </w:r>
    </w:p>
    <w:p w14:paraId="70D3C211" w14:textId="77777777" w:rsidR="005A772C" w:rsidRPr="005A772C" w:rsidRDefault="005A772C" w:rsidP="00423BDC">
      <w:pPr>
        <w:pStyle w:val="CorpsTexte"/>
        <w:numPr>
          <w:ilvl w:val="0"/>
          <w:numId w:val="14"/>
        </w:numPr>
      </w:pPr>
      <w:r w:rsidRPr="005A772C">
        <w:t>évaluer l'impact des actions</w:t>
      </w:r>
    </w:p>
    <w:p w14:paraId="06C8EDA8" w14:textId="77777777" w:rsidR="005A772C" w:rsidRPr="005A772C" w:rsidRDefault="005A772C" w:rsidP="00423BDC">
      <w:pPr>
        <w:pStyle w:val="CorpsTexte"/>
        <w:numPr>
          <w:ilvl w:val="0"/>
          <w:numId w:val="14"/>
        </w:numPr>
      </w:pPr>
      <w:r w:rsidRPr="005A772C">
        <w:t>mesurer le taux de satisfaction du personnel</w:t>
      </w:r>
    </w:p>
    <w:p w14:paraId="6551F3A9" w14:textId="77777777" w:rsidR="005A772C" w:rsidRPr="005A772C" w:rsidRDefault="005A772C" w:rsidP="00423BDC">
      <w:pPr>
        <w:pStyle w:val="CorpsTexte"/>
        <w:numPr>
          <w:ilvl w:val="0"/>
          <w:numId w:val="14"/>
        </w:numPr>
      </w:pPr>
      <w:r w:rsidRPr="005A772C">
        <w:t>disposer de métriques claires et précises</w:t>
      </w:r>
    </w:p>
    <w:p w14:paraId="13FD8BFD" w14:textId="77777777" w:rsidR="005A772C" w:rsidRPr="005A772C" w:rsidRDefault="005A772C" w:rsidP="005A772C">
      <w:pPr>
        <w:pStyle w:val="CorpsTexte"/>
      </w:pPr>
      <w:r w:rsidRPr="005A772C">
        <w:t xml:space="preserve">La politique de gouvernance informationnelle est un outil dynamique qui nécessite </w:t>
      </w:r>
      <w:r w:rsidRPr="005A772C">
        <w:rPr>
          <w:b/>
        </w:rPr>
        <w:t>une mise à jour régulière</w:t>
      </w:r>
      <w:r w:rsidRPr="005A772C">
        <w:t xml:space="preserve"> pour s'adapter à un contexte en perpétuelle évolution.</w:t>
      </w:r>
    </w:p>
    <w:p w14:paraId="09B46274" w14:textId="77777777" w:rsidR="005A772C" w:rsidRPr="005A772C" w:rsidRDefault="005A772C" w:rsidP="005A772C">
      <w:pPr>
        <w:pStyle w:val="Titre3"/>
      </w:pPr>
      <w:r w:rsidRPr="005A772C">
        <w:t>Structure d’une politique</w:t>
      </w:r>
    </w:p>
    <w:p w14:paraId="6831AE57" w14:textId="15A81632" w:rsidR="005A772C" w:rsidRPr="005A772C" w:rsidRDefault="005A772C" w:rsidP="005A772C">
      <w:pPr>
        <w:pStyle w:val="CorpsTexte"/>
      </w:pPr>
      <w:r w:rsidRPr="005A772C">
        <w:rPr>
          <w:noProof/>
          <w:lang w:val="fr-CH"/>
        </w:rPr>
        <w:drawing>
          <wp:inline distT="0" distB="0" distL="0" distR="0" wp14:anchorId="4F72FF2E" wp14:editId="1F54DCD2">
            <wp:extent cx="238760" cy="198755"/>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760" cy="198755"/>
                    </a:xfrm>
                    <a:prstGeom prst="rect">
                      <a:avLst/>
                    </a:prstGeom>
                    <a:noFill/>
                    <a:ln>
                      <a:noFill/>
                    </a:ln>
                  </pic:spPr>
                </pic:pic>
              </a:graphicData>
            </a:graphic>
          </wp:inline>
        </w:drawing>
      </w:r>
      <w:r w:rsidRPr="005A772C">
        <w:t>Il n’existe pas de modèle standardisé de politique. La structure proposée se base sur l’analyse d’une dizaine de politiques.</w:t>
      </w:r>
    </w:p>
    <w:p w14:paraId="54FA3445" w14:textId="77777777" w:rsidR="005A772C" w:rsidRPr="005A772C" w:rsidRDefault="005A772C" w:rsidP="00423BDC">
      <w:pPr>
        <w:pStyle w:val="CorpsTexte"/>
        <w:numPr>
          <w:ilvl w:val="0"/>
          <w:numId w:val="16"/>
        </w:numPr>
      </w:pPr>
      <w:r w:rsidRPr="005A772C">
        <w:t>Intitulé du document</w:t>
      </w:r>
    </w:p>
    <w:p w14:paraId="1DB40DCA" w14:textId="77777777" w:rsidR="005A772C" w:rsidRPr="005A772C" w:rsidRDefault="005A772C" w:rsidP="00423BDC">
      <w:pPr>
        <w:pStyle w:val="CorpsTexte"/>
        <w:numPr>
          <w:ilvl w:val="0"/>
          <w:numId w:val="16"/>
        </w:numPr>
      </w:pPr>
      <w:r w:rsidRPr="005A772C">
        <w:t>Présentation du contexte organisationnel</w:t>
      </w:r>
    </w:p>
    <w:p w14:paraId="1F81C63E" w14:textId="77777777" w:rsidR="005A772C" w:rsidRPr="005A772C" w:rsidRDefault="005A772C" w:rsidP="00423BDC">
      <w:pPr>
        <w:pStyle w:val="CorpsTexte"/>
        <w:numPr>
          <w:ilvl w:val="0"/>
          <w:numId w:val="16"/>
        </w:numPr>
      </w:pPr>
      <w:r w:rsidRPr="005A772C">
        <w:t>Objectifs de la politique</w:t>
      </w:r>
    </w:p>
    <w:p w14:paraId="509EF36B" w14:textId="77777777" w:rsidR="005A772C" w:rsidRPr="005A772C" w:rsidRDefault="005A772C" w:rsidP="00423BDC">
      <w:pPr>
        <w:pStyle w:val="CorpsTexte"/>
        <w:numPr>
          <w:ilvl w:val="0"/>
          <w:numId w:val="16"/>
        </w:numPr>
      </w:pPr>
      <w:r w:rsidRPr="005A772C">
        <w:t>Champs d’application / public cible</w:t>
      </w:r>
    </w:p>
    <w:p w14:paraId="7CED20DD" w14:textId="77777777" w:rsidR="005A772C" w:rsidRPr="005A772C" w:rsidRDefault="005A772C" w:rsidP="00423BDC">
      <w:pPr>
        <w:pStyle w:val="CorpsTexte"/>
        <w:numPr>
          <w:ilvl w:val="0"/>
          <w:numId w:val="16"/>
        </w:numPr>
      </w:pPr>
      <w:r w:rsidRPr="005A772C">
        <w:lastRenderedPageBreak/>
        <w:t>Environnement normatif</w:t>
      </w:r>
    </w:p>
    <w:p w14:paraId="3012CC0D" w14:textId="77777777" w:rsidR="005A772C" w:rsidRPr="005A772C" w:rsidRDefault="005A772C" w:rsidP="00423BDC">
      <w:pPr>
        <w:pStyle w:val="CorpsTexte"/>
        <w:numPr>
          <w:ilvl w:val="0"/>
          <w:numId w:val="16"/>
        </w:numPr>
      </w:pPr>
      <w:r w:rsidRPr="005A772C">
        <w:t>Environnement légal et règlementaire</w:t>
      </w:r>
    </w:p>
    <w:p w14:paraId="5C2ADBAC" w14:textId="77777777" w:rsidR="005A772C" w:rsidRPr="005A772C" w:rsidRDefault="005A772C" w:rsidP="00423BDC">
      <w:pPr>
        <w:pStyle w:val="CorpsTexte"/>
        <w:numPr>
          <w:ilvl w:val="0"/>
          <w:numId w:val="16"/>
        </w:numPr>
      </w:pPr>
      <w:r w:rsidRPr="005A772C">
        <w:t>Responsabilités</w:t>
      </w:r>
    </w:p>
    <w:p w14:paraId="733A443A" w14:textId="77777777" w:rsidR="005A772C" w:rsidRPr="005A772C" w:rsidRDefault="005A772C" w:rsidP="00423BDC">
      <w:pPr>
        <w:pStyle w:val="CorpsTexte"/>
        <w:numPr>
          <w:ilvl w:val="0"/>
          <w:numId w:val="16"/>
        </w:numPr>
      </w:pPr>
      <w:r w:rsidRPr="005A772C">
        <w:t>Outils opérationnels</w:t>
      </w:r>
    </w:p>
    <w:p w14:paraId="1D5850BF" w14:textId="77777777" w:rsidR="005A772C" w:rsidRPr="005A772C" w:rsidRDefault="005A772C" w:rsidP="00423BDC">
      <w:pPr>
        <w:pStyle w:val="CorpsTexte"/>
        <w:numPr>
          <w:ilvl w:val="0"/>
          <w:numId w:val="16"/>
        </w:numPr>
      </w:pPr>
      <w:r w:rsidRPr="005A772C">
        <w:t>Principes</w:t>
      </w:r>
    </w:p>
    <w:p w14:paraId="601E639C" w14:textId="77777777" w:rsidR="005A772C" w:rsidRPr="005A772C" w:rsidRDefault="005A772C" w:rsidP="00423BDC">
      <w:pPr>
        <w:pStyle w:val="CorpsTexte"/>
        <w:numPr>
          <w:ilvl w:val="0"/>
          <w:numId w:val="16"/>
        </w:numPr>
      </w:pPr>
      <w:r w:rsidRPr="005A772C">
        <w:t>Processus et mise en œuvre</w:t>
      </w:r>
    </w:p>
    <w:p w14:paraId="08E048AB" w14:textId="77777777" w:rsidR="005A772C" w:rsidRPr="005A772C" w:rsidRDefault="005A772C" w:rsidP="00423BDC">
      <w:pPr>
        <w:pStyle w:val="CorpsTexte"/>
        <w:numPr>
          <w:ilvl w:val="1"/>
          <w:numId w:val="16"/>
        </w:numPr>
      </w:pPr>
      <w:r w:rsidRPr="005A772C">
        <w:t>Administration des documents</w:t>
      </w:r>
    </w:p>
    <w:p w14:paraId="1F50784D" w14:textId="77777777" w:rsidR="005A772C" w:rsidRPr="005A772C" w:rsidRDefault="005A772C" w:rsidP="00423BDC">
      <w:pPr>
        <w:pStyle w:val="CorpsTexte"/>
        <w:numPr>
          <w:ilvl w:val="1"/>
          <w:numId w:val="16"/>
        </w:numPr>
      </w:pPr>
      <w:r w:rsidRPr="005A772C">
        <w:t>Accessibilité des informations</w:t>
      </w:r>
    </w:p>
    <w:p w14:paraId="6D23F3F1" w14:textId="77777777" w:rsidR="005A772C" w:rsidRPr="005A772C" w:rsidRDefault="005A772C" w:rsidP="00423BDC">
      <w:pPr>
        <w:pStyle w:val="CorpsTexte"/>
        <w:numPr>
          <w:ilvl w:val="1"/>
          <w:numId w:val="16"/>
        </w:numPr>
      </w:pPr>
      <w:r w:rsidRPr="005A772C">
        <w:t>Sécurité et protection des données</w:t>
      </w:r>
    </w:p>
    <w:p w14:paraId="175259D1" w14:textId="77777777" w:rsidR="005A772C" w:rsidRPr="005A772C" w:rsidRDefault="005A772C" w:rsidP="00423BDC">
      <w:pPr>
        <w:pStyle w:val="CorpsTexte"/>
        <w:numPr>
          <w:ilvl w:val="0"/>
          <w:numId w:val="16"/>
        </w:numPr>
      </w:pPr>
      <w:r w:rsidRPr="005A772C">
        <w:t>Glossaire</w:t>
      </w:r>
    </w:p>
    <w:p w14:paraId="4D4C64BE" w14:textId="77777777" w:rsidR="005A772C" w:rsidRPr="005A772C" w:rsidRDefault="005A772C" w:rsidP="00423BDC">
      <w:pPr>
        <w:pStyle w:val="CorpsTexte"/>
        <w:numPr>
          <w:ilvl w:val="0"/>
          <w:numId w:val="16"/>
        </w:numPr>
      </w:pPr>
      <w:r w:rsidRPr="005A772C">
        <w:t>Date d’adoption de la politique</w:t>
      </w:r>
    </w:p>
    <w:p w14:paraId="06C1A13F" w14:textId="77777777" w:rsidR="005A772C" w:rsidRPr="005A772C" w:rsidRDefault="005A772C" w:rsidP="00423BDC">
      <w:pPr>
        <w:pStyle w:val="CorpsTexte"/>
        <w:numPr>
          <w:ilvl w:val="0"/>
          <w:numId w:val="16"/>
        </w:numPr>
      </w:pPr>
      <w:r w:rsidRPr="005A772C">
        <w:t>Historique des versions de la politique</w:t>
      </w:r>
    </w:p>
    <w:p w14:paraId="4D53A7A8" w14:textId="77777777" w:rsidR="005A772C" w:rsidRPr="005A772C" w:rsidRDefault="005A772C" w:rsidP="00423BDC">
      <w:pPr>
        <w:pStyle w:val="CorpsTexte"/>
        <w:numPr>
          <w:ilvl w:val="0"/>
          <w:numId w:val="16"/>
        </w:numPr>
      </w:pPr>
      <w:r w:rsidRPr="005A772C">
        <w:t>Références</w:t>
      </w:r>
    </w:p>
    <w:p w14:paraId="1D53B399" w14:textId="77777777" w:rsidR="005A772C" w:rsidRPr="005A772C" w:rsidRDefault="005A772C" w:rsidP="005A772C">
      <w:pPr>
        <w:pStyle w:val="Titre3"/>
      </w:pPr>
      <w:r w:rsidRPr="005A772C">
        <w:t>Format d’une politique</w:t>
      </w:r>
    </w:p>
    <w:p w14:paraId="2F1DA6B6" w14:textId="77777777" w:rsidR="005A772C" w:rsidRPr="005A772C" w:rsidRDefault="005A772C" w:rsidP="00423BDC">
      <w:pPr>
        <w:pStyle w:val="CorpsTexte"/>
        <w:numPr>
          <w:ilvl w:val="0"/>
          <w:numId w:val="17"/>
        </w:numPr>
      </w:pPr>
      <w:r w:rsidRPr="005A772C">
        <w:t>Officiel</w:t>
      </w:r>
    </w:p>
    <w:p w14:paraId="1F915B74" w14:textId="77777777" w:rsidR="005A772C" w:rsidRPr="005A772C" w:rsidRDefault="005A772C" w:rsidP="00423BDC">
      <w:pPr>
        <w:pStyle w:val="CorpsTexte"/>
        <w:numPr>
          <w:ilvl w:val="0"/>
          <w:numId w:val="17"/>
        </w:numPr>
      </w:pPr>
      <w:r w:rsidRPr="005A772C">
        <w:t>Structuré en sections thématiques</w:t>
      </w:r>
    </w:p>
    <w:p w14:paraId="266E219F" w14:textId="77777777" w:rsidR="005A772C" w:rsidRPr="005A772C" w:rsidRDefault="005A772C" w:rsidP="00423BDC">
      <w:pPr>
        <w:pStyle w:val="CorpsTexte"/>
        <w:numPr>
          <w:ilvl w:val="0"/>
          <w:numId w:val="17"/>
        </w:numPr>
      </w:pPr>
      <w:r w:rsidRPr="005A772C">
        <w:t>Style directif</w:t>
      </w:r>
    </w:p>
    <w:p w14:paraId="6A0C983E" w14:textId="77777777" w:rsidR="005A772C" w:rsidRPr="005A772C" w:rsidRDefault="005A772C" w:rsidP="00423BDC">
      <w:pPr>
        <w:pStyle w:val="CorpsTexte"/>
        <w:numPr>
          <w:ilvl w:val="0"/>
          <w:numId w:val="17"/>
        </w:numPr>
      </w:pPr>
      <w:r w:rsidRPr="005A772C">
        <w:t>Termes clairement définis</w:t>
      </w:r>
    </w:p>
    <w:p w14:paraId="0039674E" w14:textId="77777777" w:rsidR="005A772C" w:rsidRPr="005A772C" w:rsidRDefault="005A772C" w:rsidP="00423BDC">
      <w:pPr>
        <w:pStyle w:val="CorpsTexte"/>
        <w:numPr>
          <w:ilvl w:val="0"/>
          <w:numId w:val="17"/>
        </w:numPr>
      </w:pPr>
      <w:r w:rsidRPr="005A772C">
        <w:t>Format permettant une diffusion</w:t>
      </w:r>
    </w:p>
    <w:p w14:paraId="30AC4FB6" w14:textId="5222A477" w:rsidR="001339D9" w:rsidRDefault="001903A0" w:rsidP="001903A0">
      <w:pPr>
        <w:pStyle w:val="Titre2"/>
        <w:rPr>
          <w:lang w:val="fr-CH"/>
        </w:rPr>
      </w:pPr>
      <w:r w:rsidRPr="001903A0">
        <w:t>Registre d’actifs informationnels</w:t>
      </w:r>
    </w:p>
    <w:p w14:paraId="631E929D" w14:textId="77777777" w:rsidR="001903A0" w:rsidRPr="006D7B20" w:rsidRDefault="001903A0" w:rsidP="001903A0">
      <w:pPr>
        <w:pStyle w:val="CorpsTexte"/>
        <w:rPr>
          <w:lang w:val="en-CA"/>
        </w:rPr>
      </w:pPr>
      <w:r w:rsidRPr="001903A0">
        <w:rPr>
          <w:lang w:val="en-US"/>
        </w:rPr>
        <w:t>“a catalogue of the information an organization holds and processes, where it is stored, how it moves and who has access” (Zafrin 2018)</w:t>
      </w:r>
    </w:p>
    <w:p w14:paraId="26EB7F42" w14:textId="77777777" w:rsidR="001903A0" w:rsidRPr="001903A0" w:rsidRDefault="001903A0" w:rsidP="001903A0">
      <w:pPr>
        <w:pStyle w:val="CorpsTexte"/>
        <w:rPr>
          <w:lang w:val="fr-CH"/>
        </w:rPr>
      </w:pPr>
      <w:r w:rsidRPr="001903A0">
        <w:rPr>
          <w:lang w:val="fr-CH"/>
        </w:rPr>
        <w:t>« Registre de catégorisation : Répertoire dans lequel sont consignés les niveaux d’impact, sur le plan de la DIC [disponibilité, intégrité, confidentialité], des actifs informationnels. » (Québec - Secrétariat du Conseil du trésor 2016, p. 27)</w:t>
      </w:r>
    </w:p>
    <w:p w14:paraId="337DC1DF" w14:textId="77777777" w:rsidR="001903A0" w:rsidRPr="001903A0" w:rsidRDefault="001903A0" w:rsidP="001903A0">
      <w:pPr>
        <w:pStyle w:val="Titre3"/>
      </w:pPr>
      <w:r w:rsidRPr="001903A0">
        <w:t>Principaux champs (National Archives of Australia [s. d.] ; The National Archives 2017)</w:t>
      </w:r>
    </w:p>
    <w:p w14:paraId="7A835902" w14:textId="77777777" w:rsidR="001903A0" w:rsidRPr="001903A0" w:rsidRDefault="001903A0" w:rsidP="001903A0">
      <w:pPr>
        <w:pStyle w:val="CorpsTexte"/>
      </w:pPr>
      <w:r w:rsidRPr="001903A0">
        <w:rPr>
          <w:b/>
        </w:rPr>
        <w:t>Description :</w:t>
      </w:r>
      <w:r w:rsidRPr="001903A0">
        <w:t xml:space="preserve"> rassemble les métadonnées permettant d'identifier les actifs informationnels, comme le nom, l'identifiant, la description et les sujets clés.</w:t>
      </w:r>
    </w:p>
    <w:p w14:paraId="1BFA8921" w14:textId="77777777" w:rsidR="001903A0" w:rsidRPr="001903A0" w:rsidRDefault="001903A0" w:rsidP="001903A0">
      <w:pPr>
        <w:pStyle w:val="CorpsTexte"/>
      </w:pPr>
      <w:r w:rsidRPr="001903A0">
        <w:rPr>
          <w:b/>
        </w:rPr>
        <w:t>Rôles et responsabilités :</w:t>
      </w:r>
      <w:r w:rsidRPr="001903A0">
        <w:t xml:space="preserve"> rassemble les métadonnées permettant d'identifier les propriétaires des actifs informationnels et les domaines ou postes ayant une certaine autorité sur leur gestion.</w:t>
      </w:r>
    </w:p>
    <w:p w14:paraId="756B83F0" w14:textId="77777777" w:rsidR="001903A0" w:rsidRPr="001903A0" w:rsidRDefault="001903A0" w:rsidP="001903A0">
      <w:pPr>
        <w:pStyle w:val="CorpsTexte"/>
      </w:pPr>
      <w:r w:rsidRPr="001903A0">
        <w:rPr>
          <w:b/>
        </w:rPr>
        <w:t>Sécurité et restrictions associées :</w:t>
      </w:r>
      <w:r w:rsidRPr="001903A0">
        <w:t xml:space="preserve"> comprend les autorisations qui sont soumises à la position ou à la fonction métier.</w:t>
      </w:r>
    </w:p>
    <w:p w14:paraId="38B17CEF" w14:textId="77777777" w:rsidR="001903A0" w:rsidRPr="001903A0" w:rsidRDefault="001903A0" w:rsidP="001903A0">
      <w:pPr>
        <w:pStyle w:val="CorpsTexte"/>
      </w:pPr>
      <w:r w:rsidRPr="001903A0">
        <w:rPr>
          <w:b/>
        </w:rPr>
        <w:t>Dispositions relatives à l'utilisation, à l'accès et à la diffusion :</w:t>
      </w:r>
      <w:r w:rsidRPr="001903A0">
        <w:t xml:space="preserve"> comprend les métadonnées permettant de faciliter les demandes de liberté d'information, le respect des droits d'auteur, le partage général des actifs informationnels et des données ouvertes dans l'ensemble du gouvernement.</w:t>
      </w:r>
    </w:p>
    <w:p w14:paraId="0C12A249" w14:textId="77777777" w:rsidR="001903A0" w:rsidRPr="001903A0" w:rsidRDefault="001903A0" w:rsidP="001903A0">
      <w:pPr>
        <w:pStyle w:val="CorpsTexte"/>
        <w:rPr>
          <w:b/>
        </w:rPr>
      </w:pPr>
      <w:r w:rsidRPr="001903A0">
        <w:rPr>
          <w:b/>
        </w:rPr>
        <w:t>Risques </w:t>
      </w:r>
      <w:r w:rsidRPr="001903A0">
        <w:t>: concernant les activités et les actifs informationnels eux-mêmes.</w:t>
      </w:r>
    </w:p>
    <w:p w14:paraId="41E88C9B" w14:textId="77777777" w:rsidR="001903A0" w:rsidRPr="001903A0" w:rsidRDefault="001903A0" w:rsidP="001903A0">
      <w:pPr>
        <w:pStyle w:val="Titre3"/>
      </w:pPr>
      <w:r w:rsidRPr="001903A0">
        <w:lastRenderedPageBreak/>
        <w:t>Exemples de modèles</w:t>
      </w:r>
    </w:p>
    <w:p w14:paraId="1166F818" w14:textId="77777777" w:rsidR="001903A0" w:rsidRPr="006D7B20" w:rsidRDefault="001903A0" w:rsidP="00423BDC">
      <w:pPr>
        <w:pStyle w:val="CorpsTexte"/>
        <w:numPr>
          <w:ilvl w:val="0"/>
          <w:numId w:val="18"/>
        </w:numPr>
        <w:rPr>
          <w:lang w:val="en-CA"/>
        </w:rPr>
      </w:pPr>
      <w:r w:rsidRPr="006D7B20">
        <w:rPr>
          <w:lang w:val="en-CA"/>
        </w:rPr>
        <w:t xml:space="preserve">National Archives of Australia : </w:t>
      </w:r>
      <w:hyperlink r:id="rId21" w:history="1">
        <w:r w:rsidRPr="006D7B20">
          <w:rPr>
            <w:rStyle w:val="Lienhypertexte"/>
            <w:lang w:val="en-CA"/>
          </w:rPr>
          <w:t>https://www.naa.gov.au/sites/default/files/2021-06/Information-Asset-Register-template.XLSX</w:t>
        </w:r>
      </w:hyperlink>
    </w:p>
    <w:p w14:paraId="364865C5" w14:textId="77777777" w:rsidR="001903A0" w:rsidRPr="006D7B20" w:rsidRDefault="001903A0" w:rsidP="00423BDC">
      <w:pPr>
        <w:pStyle w:val="CorpsTexte"/>
        <w:numPr>
          <w:ilvl w:val="0"/>
          <w:numId w:val="18"/>
        </w:numPr>
        <w:rPr>
          <w:lang w:val="en-CA"/>
        </w:rPr>
      </w:pPr>
      <w:r w:rsidRPr="006D7B20">
        <w:rPr>
          <w:lang w:val="en-CA"/>
        </w:rPr>
        <w:t xml:space="preserve">Office of the Victorian Information Commissionner (2020) : </w:t>
      </w:r>
      <w:hyperlink r:id="rId22" w:history="1">
        <w:r w:rsidRPr="006D7B20">
          <w:rPr>
            <w:rStyle w:val="Lienhypertexte"/>
            <w:lang w:val="en-CA"/>
          </w:rPr>
          <w:t>https://ovic.vic.gov.au/resource/sample-information-asset-register-iar-template/</w:t>
        </w:r>
      </w:hyperlink>
    </w:p>
    <w:p w14:paraId="12750120" w14:textId="77777777" w:rsidR="001903A0" w:rsidRPr="006D7B20" w:rsidRDefault="001903A0" w:rsidP="00423BDC">
      <w:pPr>
        <w:pStyle w:val="CorpsTexte"/>
        <w:numPr>
          <w:ilvl w:val="0"/>
          <w:numId w:val="18"/>
        </w:numPr>
        <w:rPr>
          <w:lang w:val="en-CA"/>
        </w:rPr>
      </w:pPr>
      <w:r w:rsidRPr="006D7B20">
        <w:rPr>
          <w:lang w:val="en-CA"/>
        </w:rPr>
        <w:t xml:space="preserve">The National Archives (s.d.) : </w:t>
      </w:r>
      <w:hyperlink r:id="rId23" w:history="1">
        <w:r w:rsidRPr="006D7B20">
          <w:rPr>
            <w:rStyle w:val="Lienhypertexte"/>
            <w:lang w:val="en-CA"/>
          </w:rPr>
          <w:t>http://www.nationalarchives.gov.uk/documents/information-management/iar_template.xls</w:t>
        </w:r>
      </w:hyperlink>
    </w:p>
    <w:p w14:paraId="2DB8D1D6" w14:textId="77777777" w:rsidR="001903A0" w:rsidRPr="006D7B20" w:rsidRDefault="001903A0" w:rsidP="00423BDC">
      <w:pPr>
        <w:pStyle w:val="CorpsTexte"/>
        <w:numPr>
          <w:ilvl w:val="0"/>
          <w:numId w:val="18"/>
        </w:numPr>
        <w:rPr>
          <w:lang w:val="en-CA"/>
        </w:rPr>
      </w:pPr>
      <w:r w:rsidRPr="006D7B20">
        <w:rPr>
          <w:lang w:val="en-CA"/>
        </w:rPr>
        <w:t xml:space="preserve">Monash University : </w:t>
      </w:r>
      <w:hyperlink r:id="rId24" w:history="1">
        <w:r w:rsidRPr="006D7B20">
          <w:rPr>
            <w:rStyle w:val="Lienhypertexte"/>
            <w:lang w:val="en-CA"/>
          </w:rPr>
          <w:t>https://adm.monash.edu/records-archives/archives/IAR/information-asset-register.xml</w:t>
        </w:r>
      </w:hyperlink>
    </w:p>
    <w:p w14:paraId="3B439276" w14:textId="16B110C4" w:rsidR="001903A0" w:rsidRPr="006D7B20" w:rsidRDefault="001903A0" w:rsidP="001903A0">
      <w:pPr>
        <w:pStyle w:val="Titre2"/>
        <w:rPr>
          <w:lang w:val="en-CA"/>
        </w:rPr>
      </w:pPr>
      <w:r w:rsidRPr="006D7B20">
        <w:rPr>
          <w:lang w:val="en-CA"/>
        </w:rPr>
        <w:t>ITrust IG Maturity Models (Makhlouf Shabou 2019)</w:t>
      </w:r>
    </w:p>
    <w:p w14:paraId="64F2B093" w14:textId="77777777" w:rsidR="001903A0" w:rsidRPr="001903A0" w:rsidRDefault="001903A0" w:rsidP="001903A0">
      <w:pPr>
        <w:pStyle w:val="CorpsTexte"/>
      </w:pPr>
      <w:r w:rsidRPr="001903A0">
        <w:t>Il s’agit d’un modèle basé sur différentes recherches dans le cadre du projet InterPARES EU 29 et EU 30 : Information Governance Maturity in European Public Administrations: Nature, Assessment tools and Methods (phase I &amp; II, 2016-2018) :</w:t>
      </w:r>
    </w:p>
    <w:p w14:paraId="4D6CE300" w14:textId="77777777" w:rsidR="001903A0" w:rsidRPr="001903A0" w:rsidRDefault="001903A0" w:rsidP="00423BDC">
      <w:pPr>
        <w:pStyle w:val="CorpsTexte"/>
        <w:numPr>
          <w:ilvl w:val="0"/>
          <w:numId w:val="22"/>
        </w:numPr>
      </w:pPr>
      <w:r w:rsidRPr="001903A0">
        <w:t>un travail de master : Information governance: nature and implementation from the European public administrations’ perspective</w:t>
      </w:r>
    </w:p>
    <w:p w14:paraId="654D4A8B" w14:textId="77777777" w:rsidR="001903A0" w:rsidRPr="001903A0" w:rsidRDefault="001903A0" w:rsidP="00423BDC">
      <w:pPr>
        <w:pStyle w:val="CorpsTexte"/>
        <w:numPr>
          <w:ilvl w:val="0"/>
          <w:numId w:val="22"/>
        </w:numPr>
      </w:pPr>
      <w:r w:rsidRPr="001903A0">
        <w:t>un projet de recherche : La maturité de la gouvernance de l’information dans les administrations publiques européennes : la perception de la gouvernance de l’information dans l’administration publique genevoise</w:t>
      </w:r>
    </w:p>
    <w:p w14:paraId="6131A4A4" w14:textId="77777777" w:rsidR="001903A0" w:rsidRPr="001903A0" w:rsidRDefault="001903A0" w:rsidP="00423BDC">
      <w:pPr>
        <w:pStyle w:val="CorpsTexte"/>
        <w:numPr>
          <w:ilvl w:val="0"/>
          <w:numId w:val="22"/>
        </w:numPr>
      </w:pPr>
      <w:r w:rsidRPr="001903A0">
        <w:t>une synthèse des modèles existants avec l'aide du travail de Proença et al. (2017)</w:t>
      </w:r>
    </w:p>
    <w:p w14:paraId="488601DE" w14:textId="77777777" w:rsidR="001903A0" w:rsidRPr="001903A0" w:rsidRDefault="001903A0" w:rsidP="001903A0">
      <w:pPr>
        <w:pStyle w:val="CorpsTexte"/>
      </w:pPr>
      <w:r w:rsidRPr="001903A0">
        <w:t>Plusieurs tendances ont été identifiées :</w:t>
      </w:r>
    </w:p>
    <w:p w14:paraId="580276C4" w14:textId="77777777" w:rsidR="001903A0" w:rsidRPr="001903A0" w:rsidRDefault="001903A0" w:rsidP="00423BDC">
      <w:pPr>
        <w:pStyle w:val="CorpsTexte"/>
        <w:numPr>
          <w:ilvl w:val="0"/>
          <w:numId w:val="23"/>
        </w:numPr>
      </w:pPr>
      <w:r w:rsidRPr="001903A0">
        <w:t>croisement de différents dimensions à travers différents niveaux indiquant le développement et la progression à atteindre;</w:t>
      </w:r>
    </w:p>
    <w:p w14:paraId="7193243A" w14:textId="77777777" w:rsidR="001903A0" w:rsidRPr="001903A0" w:rsidRDefault="001903A0" w:rsidP="00423BDC">
      <w:pPr>
        <w:pStyle w:val="CorpsTexte"/>
        <w:numPr>
          <w:ilvl w:val="0"/>
          <w:numId w:val="23"/>
        </w:numPr>
      </w:pPr>
      <w:r w:rsidRPr="001903A0">
        <w:t>utilisation des dimensions et des sous-dimensions pour cibler des aspects progressivement différents à évaluer dans les pratiques informationnelles;</w:t>
      </w:r>
    </w:p>
    <w:p w14:paraId="34E1BBE8" w14:textId="77777777" w:rsidR="001903A0" w:rsidRPr="001903A0" w:rsidRDefault="001903A0" w:rsidP="00423BDC">
      <w:pPr>
        <w:pStyle w:val="CorpsTexte"/>
        <w:numPr>
          <w:ilvl w:val="0"/>
          <w:numId w:val="23"/>
        </w:numPr>
      </w:pPr>
      <w:r w:rsidRPr="001903A0">
        <w:t>généralement 5 niveaux de développement</w:t>
      </w:r>
    </w:p>
    <w:p w14:paraId="52F2906B" w14:textId="77777777" w:rsidR="001903A0" w:rsidRPr="001903A0" w:rsidRDefault="001903A0" w:rsidP="00423BDC">
      <w:pPr>
        <w:pStyle w:val="CorpsTexte"/>
        <w:numPr>
          <w:ilvl w:val="0"/>
          <w:numId w:val="23"/>
        </w:numPr>
      </w:pPr>
      <w:r w:rsidRPr="001903A0">
        <w:t>application d'une collecte de données qualitatives (entretiens, observation, etc.) pour l'évaluation de la pratique informationnelle</w:t>
      </w:r>
    </w:p>
    <w:p w14:paraId="3E9B2A3E" w14:textId="77777777" w:rsidR="001903A0" w:rsidRPr="001903A0" w:rsidRDefault="001903A0" w:rsidP="001903A0">
      <w:pPr>
        <w:pStyle w:val="Titre3"/>
      </w:pPr>
      <w:r w:rsidRPr="001903A0">
        <w:t>Dix dimensions</w:t>
      </w:r>
    </w:p>
    <w:p w14:paraId="61B07067" w14:textId="77777777" w:rsidR="001903A0" w:rsidRPr="001903A0" w:rsidRDefault="001903A0" w:rsidP="00423BDC">
      <w:pPr>
        <w:pStyle w:val="CorpsTexte"/>
        <w:numPr>
          <w:ilvl w:val="0"/>
          <w:numId w:val="21"/>
        </w:numPr>
      </w:pPr>
      <w:r w:rsidRPr="001903A0">
        <w:rPr>
          <w:b/>
        </w:rPr>
        <w:t>Responsabilités et rôles (</w:t>
      </w:r>
      <w:r w:rsidRPr="001903A0">
        <w:rPr>
          <w:b/>
          <w:i/>
        </w:rPr>
        <w:t>responsibilities and roles</w:t>
      </w:r>
      <w:r w:rsidRPr="001903A0">
        <w:rPr>
          <w:b/>
        </w:rPr>
        <w:t>) :</w:t>
      </w:r>
      <w:r w:rsidRPr="001903A0">
        <w:t xml:space="preserve"> il s’agit de la définition explicite des rôles et règles pour les utilisateurs, producteurs et gestionnaires de l'information ;</w:t>
      </w:r>
    </w:p>
    <w:p w14:paraId="48D4FE21" w14:textId="77777777" w:rsidR="001903A0" w:rsidRPr="001903A0" w:rsidRDefault="001903A0" w:rsidP="00423BDC">
      <w:pPr>
        <w:pStyle w:val="CorpsTexte"/>
        <w:numPr>
          <w:ilvl w:val="0"/>
          <w:numId w:val="21"/>
        </w:numPr>
      </w:pPr>
      <w:r w:rsidRPr="001903A0">
        <w:rPr>
          <w:b/>
        </w:rPr>
        <w:t>Engagement des parties prenantes (</w:t>
      </w:r>
      <w:r w:rsidRPr="001903A0">
        <w:rPr>
          <w:b/>
          <w:i/>
        </w:rPr>
        <w:t>stakeholder engagement</w:t>
      </w:r>
      <w:r w:rsidRPr="001903A0">
        <w:rPr>
          <w:b/>
        </w:rPr>
        <w:t>) :</w:t>
      </w:r>
      <w:r w:rsidRPr="001903A0">
        <w:t xml:space="preserve"> il s’agit de la connexion explicite avec tous ceux qui ont un intérêt direct dans l'information de l’institution ;</w:t>
      </w:r>
    </w:p>
    <w:p w14:paraId="2E26023E" w14:textId="77777777" w:rsidR="001903A0" w:rsidRPr="001903A0" w:rsidRDefault="001903A0" w:rsidP="00423BDC">
      <w:pPr>
        <w:pStyle w:val="CorpsTexte"/>
        <w:numPr>
          <w:ilvl w:val="0"/>
          <w:numId w:val="21"/>
        </w:numPr>
      </w:pPr>
      <w:r w:rsidRPr="001903A0">
        <w:rPr>
          <w:b/>
        </w:rPr>
        <w:t>Cadre et politique, y compris la gestion des risques (</w:t>
      </w:r>
      <w:r w:rsidRPr="001903A0">
        <w:rPr>
          <w:b/>
          <w:i/>
        </w:rPr>
        <w:t>framework and policy including risk management</w:t>
      </w:r>
      <w:r w:rsidRPr="001903A0">
        <w:rPr>
          <w:b/>
        </w:rPr>
        <w:t>) :</w:t>
      </w:r>
      <w:r w:rsidRPr="001903A0">
        <w:t xml:space="preserve"> regroupe les documents stratégiques de l’institution définissant les ressources d'information, leur contexte spécifique et la gestion des risques y relatifs ;</w:t>
      </w:r>
    </w:p>
    <w:p w14:paraId="0330DE97" w14:textId="77777777" w:rsidR="001903A0" w:rsidRPr="001903A0" w:rsidRDefault="001903A0" w:rsidP="00423BDC">
      <w:pPr>
        <w:pStyle w:val="CorpsTexte"/>
        <w:numPr>
          <w:ilvl w:val="0"/>
          <w:numId w:val="21"/>
        </w:numPr>
      </w:pPr>
      <w:r w:rsidRPr="001903A0">
        <w:rPr>
          <w:b/>
        </w:rPr>
        <w:t>Identification, création et propriété des actifs informationnels (</w:t>
      </w:r>
      <w:r w:rsidRPr="001903A0">
        <w:rPr>
          <w:b/>
          <w:i/>
        </w:rPr>
        <w:t>information asset identification, creation and ownership</w:t>
      </w:r>
      <w:r w:rsidRPr="001903A0">
        <w:rPr>
          <w:b/>
        </w:rPr>
        <w:t>) :</w:t>
      </w:r>
      <w:r w:rsidRPr="001903A0">
        <w:t xml:space="preserve"> prise en compte de la création, de la cocréation et de la propriété citoyenne des informations (Adesemowo, Von Solms, &amp; Botha, 2016) ;</w:t>
      </w:r>
    </w:p>
    <w:p w14:paraId="04D80713" w14:textId="77777777" w:rsidR="001903A0" w:rsidRPr="001903A0" w:rsidRDefault="001903A0" w:rsidP="00423BDC">
      <w:pPr>
        <w:pStyle w:val="CorpsTexte"/>
        <w:numPr>
          <w:ilvl w:val="0"/>
          <w:numId w:val="21"/>
        </w:numPr>
      </w:pPr>
      <w:r w:rsidRPr="001903A0">
        <w:rPr>
          <w:b/>
        </w:rPr>
        <w:lastRenderedPageBreak/>
        <w:t>Valeur, qualité et livraison de l'information (</w:t>
      </w:r>
      <w:r w:rsidRPr="001903A0">
        <w:rPr>
          <w:b/>
          <w:i/>
        </w:rPr>
        <w:t>information value, quality and delivery</w:t>
      </w:r>
      <w:r w:rsidRPr="001903A0">
        <w:rPr>
          <w:b/>
        </w:rPr>
        <w:t>) :</w:t>
      </w:r>
      <w:r w:rsidRPr="001903A0">
        <w:t xml:space="preserve"> regroupe les outils, normes et règles permettant de fournir des données fiables ;</w:t>
      </w:r>
    </w:p>
    <w:p w14:paraId="6E940A91" w14:textId="77777777" w:rsidR="001903A0" w:rsidRPr="001903A0" w:rsidRDefault="001903A0" w:rsidP="00423BDC">
      <w:pPr>
        <w:pStyle w:val="CorpsTexte"/>
        <w:numPr>
          <w:ilvl w:val="0"/>
          <w:numId w:val="21"/>
        </w:numPr>
      </w:pPr>
      <w:r w:rsidRPr="001903A0">
        <w:rPr>
          <w:b/>
        </w:rPr>
        <w:t>Gestion des droits (</w:t>
      </w:r>
      <w:r w:rsidRPr="001903A0">
        <w:rPr>
          <w:b/>
          <w:i/>
        </w:rPr>
        <w:t>rights management</w:t>
      </w:r>
      <w:r w:rsidRPr="001903A0">
        <w:rPr>
          <w:b/>
        </w:rPr>
        <w:t>) :</w:t>
      </w:r>
      <w:r w:rsidRPr="001903A0">
        <w:t xml:space="preserve"> regroupe la gestion des droits d’accès afin d’assurer la confidentialité des données ;</w:t>
      </w:r>
    </w:p>
    <w:p w14:paraId="40664305" w14:textId="77777777" w:rsidR="001903A0" w:rsidRPr="001903A0" w:rsidRDefault="001903A0" w:rsidP="00423BDC">
      <w:pPr>
        <w:pStyle w:val="CorpsTexte"/>
        <w:numPr>
          <w:ilvl w:val="0"/>
          <w:numId w:val="21"/>
        </w:numPr>
      </w:pPr>
      <w:r w:rsidRPr="001903A0">
        <w:rPr>
          <w:b/>
        </w:rPr>
        <w:t>Gestion des documents d’activité (</w:t>
      </w:r>
      <w:r w:rsidRPr="001903A0">
        <w:rPr>
          <w:b/>
          <w:i/>
        </w:rPr>
        <w:t>records management</w:t>
      </w:r>
      <w:r w:rsidRPr="001903A0">
        <w:rPr>
          <w:b/>
        </w:rPr>
        <w:t>) :</w:t>
      </w:r>
      <w:r w:rsidRPr="001903A0">
        <w:t xml:space="preserve"> regroupe les outils, normes et règles pour les calendriers et processus de conservation et d'élimination des données et des documents et plan de classification ;</w:t>
      </w:r>
    </w:p>
    <w:p w14:paraId="2E25E62B" w14:textId="77777777" w:rsidR="001903A0" w:rsidRPr="001903A0" w:rsidRDefault="001903A0" w:rsidP="00423BDC">
      <w:pPr>
        <w:pStyle w:val="CorpsTexte"/>
        <w:numPr>
          <w:ilvl w:val="0"/>
          <w:numId w:val="21"/>
        </w:numPr>
      </w:pPr>
      <w:r w:rsidRPr="001903A0">
        <w:rPr>
          <w:b/>
        </w:rPr>
        <w:t>Sécurité et résilience de l'information (</w:t>
      </w:r>
      <w:r w:rsidRPr="001903A0">
        <w:rPr>
          <w:b/>
          <w:i/>
        </w:rPr>
        <w:t>information security and resilience</w:t>
      </w:r>
      <w:r w:rsidRPr="001903A0">
        <w:rPr>
          <w:b/>
        </w:rPr>
        <w:t>) :</w:t>
      </w:r>
      <w:r w:rsidRPr="001903A0">
        <w:t xml:space="preserve"> assurer la disponibilité et les protections de l'information afin de garantir le maintien de l'information pour les activités de l’institution ;</w:t>
      </w:r>
    </w:p>
    <w:p w14:paraId="7EFBC0CE" w14:textId="77777777" w:rsidR="001903A0" w:rsidRPr="001903A0" w:rsidRDefault="001903A0" w:rsidP="00423BDC">
      <w:pPr>
        <w:pStyle w:val="CorpsTexte"/>
        <w:numPr>
          <w:ilvl w:val="0"/>
          <w:numId w:val="21"/>
        </w:numPr>
      </w:pPr>
      <w:r w:rsidRPr="001903A0">
        <w:rPr>
          <w:b/>
        </w:rPr>
        <w:t>Préservation à long terme (</w:t>
      </w:r>
      <w:r w:rsidRPr="001903A0">
        <w:rPr>
          <w:b/>
          <w:i/>
        </w:rPr>
        <w:t>long-term preservation</w:t>
      </w:r>
      <w:r w:rsidRPr="001903A0">
        <w:rPr>
          <w:b/>
        </w:rPr>
        <w:t>) :</w:t>
      </w:r>
      <w:r w:rsidRPr="001903A0">
        <w:t xml:space="preserve"> regroupe les infrastructures, outils, normes et directives garantissant l'accès durable aux documents et archives organisationnels ;</w:t>
      </w:r>
    </w:p>
    <w:p w14:paraId="1B20A017" w14:textId="77777777" w:rsidR="001903A0" w:rsidRPr="001903A0" w:rsidRDefault="001903A0" w:rsidP="00423BDC">
      <w:pPr>
        <w:pStyle w:val="CorpsTexte"/>
        <w:numPr>
          <w:ilvl w:val="0"/>
          <w:numId w:val="21"/>
        </w:numPr>
      </w:pPr>
      <w:r w:rsidRPr="001903A0">
        <w:rPr>
          <w:b/>
        </w:rPr>
        <w:t>Suivi et changement (</w:t>
      </w:r>
      <w:r w:rsidRPr="001903A0">
        <w:rPr>
          <w:b/>
          <w:i/>
        </w:rPr>
        <w:t>monitoring and change</w:t>
      </w:r>
      <w:r w:rsidRPr="001903A0">
        <w:rPr>
          <w:b/>
        </w:rPr>
        <w:t>) :</w:t>
      </w:r>
      <w:r w:rsidRPr="001903A0">
        <w:t xml:space="preserve"> activités et actions soutenant les changements et les évolutions pour garantir que le système reste à jour et pertinent, en répondant aux nouveaux défis et opportunités.</w:t>
      </w:r>
    </w:p>
    <w:p w14:paraId="4DAA5292" w14:textId="77777777" w:rsidR="001903A0" w:rsidRPr="001903A0" w:rsidRDefault="001903A0" w:rsidP="001903A0">
      <w:pPr>
        <w:pStyle w:val="Titre3"/>
      </w:pPr>
      <w:r w:rsidRPr="001903A0">
        <w:t>Trois critères</w:t>
      </w:r>
    </w:p>
    <w:p w14:paraId="1A2E7811" w14:textId="77777777" w:rsidR="001903A0" w:rsidRPr="001903A0" w:rsidRDefault="001903A0" w:rsidP="00423BDC">
      <w:pPr>
        <w:pStyle w:val="CorpsTexte"/>
        <w:numPr>
          <w:ilvl w:val="0"/>
          <w:numId w:val="19"/>
        </w:numPr>
      </w:pPr>
      <w:r w:rsidRPr="001903A0">
        <w:rPr>
          <w:b/>
        </w:rPr>
        <w:t>Personnes (</w:t>
      </w:r>
      <w:r w:rsidRPr="001903A0">
        <w:rPr>
          <w:b/>
          <w:i/>
        </w:rPr>
        <w:t>people</w:t>
      </w:r>
      <w:r w:rsidRPr="001903A0">
        <w:rPr>
          <w:b/>
        </w:rPr>
        <w:t>) :</w:t>
      </w:r>
      <w:r w:rsidRPr="001903A0">
        <w:t xml:space="preserve"> critères relatives aux personnes incluant des éléments comme le leadership, l'expertise professionnelle ou encore l'inclusion de citoyens</w:t>
      </w:r>
    </w:p>
    <w:p w14:paraId="03C0F387" w14:textId="77777777" w:rsidR="001903A0" w:rsidRPr="001903A0" w:rsidRDefault="001903A0" w:rsidP="00423BDC">
      <w:pPr>
        <w:pStyle w:val="CorpsTexte"/>
        <w:numPr>
          <w:ilvl w:val="0"/>
          <w:numId w:val="19"/>
        </w:numPr>
      </w:pPr>
      <w:r w:rsidRPr="001903A0">
        <w:rPr>
          <w:b/>
        </w:rPr>
        <w:t>Système (</w:t>
      </w:r>
      <w:r w:rsidRPr="001903A0">
        <w:rPr>
          <w:b/>
          <w:i/>
        </w:rPr>
        <w:t>system</w:t>
      </w:r>
      <w:r w:rsidRPr="001903A0">
        <w:rPr>
          <w:b/>
        </w:rPr>
        <w:t>) :</w:t>
      </w:r>
      <w:r w:rsidRPr="001903A0">
        <w:t xml:space="preserve"> critères comprenant aussi bien le développement des processus que l'infrastucture en passant par les logiciels et les outils</w:t>
      </w:r>
    </w:p>
    <w:p w14:paraId="1C4B433C" w14:textId="77777777" w:rsidR="001903A0" w:rsidRPr="001903A0" w:rsidRDefault="001903A0" w:rsidP="00423BDC">
      <w:pPr>
        <w:pStyle w:val="CorpsTexte"/>
        <w:numPr>
          <w:ilvl w:val="0"/>
          <w:numId w:val="19"/>
        </w:numPr>
      </w:pPr>
      <w:r w:rsidRPr="001903A0">
        <w:rPr>
          <w:b/>
        </w:rPr>
        <w:t>Éthique (</w:t>
      </w:r>
      <w:r w:rsidRPr="001903A0">
        <w:rPr>
          <w:b/>
          <w:i/>
        </w:rPr>
        <w:t>Ethics</w:t>
      </w:r>
      <w:r w:rsidRPr="001903A0">
        <w:rPr>
          <w:b/>
        </w:rPr>
        <w:t>) :</w:t>
      </w:r>
      <w:r w:rsidRPr="001903A0">
        <w:t xml:space="preserve"> critères s'intéressant aux conformités aux lois, règlements et normes, tant bien généraux que spécifiques</w:t>
      </w:r>
    </w:p>
    <w:p w14:paraId="0E5F0953" w14:textId="77777777" w:rsidR="001903A0" w:rsidRPr="001903A0" w:rsidRDefault="001903A0" w:rsidP="001903A0">
      <w:pPr>
        <w:pStyle w:val="Titre3"/>
      </w:pPr>
      <w:r w:rsidRPr="001903A0">
        <w:t>Cinq niveaux</w:t>
      </w:r>
    </w:p>
    <w:p w14:paraId="6EF5754A" w14:textId="77777777" w:rsidR="001903A0" w:rsidRPr="001903A0" w:rsidRDefault="001903A0" w:rsidP="00423BDC">
      <w:pPr>
        <w:pStyle w:val="CorpsTexte"/>
        <w:numPr>
          <w:ilvl w:val="0"/>
          <w:numId w:val="20"/>
        </w:numPr>
      </w:pPr>
      <w:r w:rsidRPr="001903A0">
        <w:t>Non existant (</w:t>
      </w:r>
      <w:r w:rsidRPr="001903A0">
        <w:rPr>
          <w:i/>
        </w:rPr>
        <w:t>not existent</w:t>
      </w:r>
      <w:r w:rsidRPr="001903A0">
        <w:t>)</w:t>
      </w:r>
    </w:p>
    <w:p w14:paraId="59A1844E" w14:textId="77777777" w:rsidR="001903A0" w:rsidRPr="001903A0" w:rsidRDefault="001903A0" w:rsidP="00423BDC">
      <w:pPr>
        <w:pStyle w:val="CorpsTexte"/>
        <w:numPr>
          <w:ilvl w:val="0"/>
          <w:numId w:val="20"/>
        </w:numPr>
      </w:pPr>
      <w:r w:rsidRPr="001903A0">
        <w:t>En développement (</w:t>
      </w:r>
      <w:r w:rsidRPr="001903A0">
        <w:rPr>
          <w:i/>
        </w:rPr>
        <w:t>developing</w:t>
      </w:r>
      <w:r w:rsidRPr="001903A0">
        <w:t>)</w:t>
      </w:r>
    </w:p>
    <w:p w14:paraId="245D77E2" w14:textId="77777777" w:rsidR="001903A0" w:rsidRPr="001903A0" w:rsidRDefault="001903A0" w:rsidP="00423BDC">
      <w:pPr>
        <w:pStyle w:val="CorpsTexte"/>
        <w:numPr>
          <w:ilvl w:val="0"/>
          <w:numId w:val="20"/>
        </w:numPr>
      </w:pPr>
      <w:r w:rsidRPr="001903A0">
        <w:t>Normes minimales (</w:t>
      </w:r>
      <w:r w:rsidRPr="001903A0">
        <w:rPr>
          <w:i/>
        </w:rPr>
        <w:t>minimum standards</w:t>
      </w:r>
      <w:r w:rsidRPr="001903A0">
        <w:t>)</w:t>
      </w:r>
    </w:p>
    <w:p w14:paraId="30CCE0E2" w14:textId="77777777" w:rsidR="001903A0" w:rsidRPr="001903A0" w:rsidRDefault="001903A0" w:rsidP="00423BDC">
      <w:pPr>
        <w:pStyle w:val="CorpsTexte"/>
        <w:numPr>
          <w:ilvl w:val="0"/>
          <w:numId w:val="20"/>
        </w:numPr>
      </w:pPr>
      <w:r w:rsidRPr="001903A0">
        <w:t>Normes aspirationnelles (</w:t>
      </w:r>
      <w:r w:rsidRPr="001903A0">
        <w:rPr>
          <w:i/>
        </w:rPr>
        <w:t>aspirational standards</w:t>
      </w:r>
      <w:r w:rsidRPr="001903A0">
        <w:t>)</w:t>
      </w:r>
    </w:p>
    <w:p w14:paraId="3EDC1864" w14:textId="77777777" w:rsidR="001903A0" w:rsidRPr="001903A0" w:rsidRDefault="001903A0" w:rsidP="00423BDC">
      <w:pPr>
        <w:pStyle w:val="CorpsTexte"/>
        <w:numPr>
          <w:ilvl w:val="0"/>
          <w:numId w:val="20"/>
        </w:numPr>
      </w:pPr>
      <w:r w:rsidRPr="001903A0">
        <w:t>Transformationnel (</w:t>
      </w:r>
      <w:r w:rsidRPr="001903A0">
        <w:rPr>
          <w:i/>
        </w:rPr>
        <w:t>transformational</w:t>
      </w:r>
      <w:r w:rsidRPr="001903A0">
        <w:t>)</w:t>
      </w:r>
    </w:p>
    <w:p w14:paraId="1BF342C0" w14:textId="77E1EFDE" w:rsidR="001903A0" w:rsidRDefault="001903A0" w:rsidP="001903A0">
      <w:pPr>
        <w:pStyle w:val="Titre2"/>
        <w:rPr>
          <w:lang w:val="fr-CH"/>
        </w:rPr>
      </w:pPr>
      <w:r w:rsidRPr="001903A0">
        <w:rPr>
          <w:lang w:val="fr-CH"/>
        </w:rPr>
        <w:t>Outils de records management</w:t>
      </w:r>
    </w:p>
    <w:p w14:paraId="7FADD297" w14:textId="77777777" w:rsidR="001903A0" w:rsidRPr="001903A0" w:rsidRDefault="001903A0" w:rsidP="001903A0">
      <w:pPr>
        <w:pStyle w:val="CorpsTexte"/>
        <w:rPr>
          <w:lang w:val="fr-CH"/>
        </w:rPr>
      </w:pPr>
      <w:r w:rsidRPr="001903A0">
        <w:rPr>
          <w:lang w:val="fr-CH"/>
        </w:rPr>
        <w:t>Inventaire typologique</w:t>
      </w:r>
    </w:p>
    <w:p w14:paraId="4A74DC5F" w14:textId="77777777" w:rsidR="001903A0" w:rsidRPr="001903A0" w:rsidRDefault="001903A0" w:rsidP="001903A0">
      <w:pPr>
        <w:pStyle w:val="CorpsTexte"/>
        <w:rPr>
          <w:lang w:val="fr-CH"/>
        </w:rPr>
      </w:pPr>
      <w:r w:rsidRPr="001903A0">
        <w:rPr>
          <w:lang w:val="fr-CH"/>
        </w:rPr>
        <w:t>Plan de classement</w:t>
      </w:r>
    </w:p>
    <w:p w14:paraId="31BC01F9" w14:textId="0037098C" w:rsidR="001903A0" w:rsidRPr="001339D9" w:rsidRDefault="001903A0" w:rsidP="001903A0">
      <w:pPr>
        <w:pStyle w:val="CorpsTexte"/>
        <w:rPr>
          <w:lang w:val="fr-CH"/>
        </w:rPr>
      </w:pPr>
      <w:r w:rsidRPr="001903A0">
        <w:rPr>
          <w:lang w:val="fr-CH"/>
        </w:rPr>
        <w:t>Calendrier de conservation</w:t>
      </w:r>
    </w:p>
    <w:p w14:paraId="401277D3" w14:textId="56DE35F9" w:rsidR="00E05747" w:rsidRPr="00955666" w:rsidRDefault="00E01386" w:rsidP="00E05747">
      <w:pPr>
        <w:pStyle w:val="Titre1"/>
        <w:rPr>
          <w:lang w:val="fr-CH"/>
        </w:rPr>
      </w:pPr>
      <w:r>
        <w:rPr>
          <w:lang w:val="fr-CH"/>
        </w:rPr>
        <w:t>Perspectives</w:t>
      </w:r>
    </w:p>
    <w:p w14:paraId="5A76A849" w14:textId="3584ED34" w:rsidR="00395BED" w:rsidRPr="00955666" w:rsidRDefault="00395BED" w:rsidP="00395BED">
      <w:pPr>
        <w:pStyle w:val="Titre2"/>
        <w:rPr>
          <w:lang w:val="fr-CH"/>
        </w:rPr>
      </w:pPr>
      <w:r w:rsidRPr="00955666">
        <w:rPr>
          <w:lang w:val="fr-CH"/>
        </w:rPr>
        <w:t>Grandes tendances (Dawson 2019; Markarian 2019)</w:t>
      </w:r>
    </w:p>
    <w:p w14:paraId="4A91C42D" w14:textId="0614E0BD" w:rsidR="00395BED" w:rsidRDefault="00395BED" w:rsidP="00AE039D">
      <w:pPr>
        <w:pStyle w:val="Titre3"/>
        <w:rPr>
          <w:lang w:val="fr-CH"/>
        </w:rPr>
      </w:pPr>
      <w:r w:rsidRPr="00395BED">
        <w:rPr>
          <w:lang w:val="fr-CH"/>
        </w:rPr>
        <w:t>Sécurité</w:t>
      </w:r>
    </w:p>
    <w:p w14:paraId="69FE568C" w14:textId="0E18774C" w:rsidR="00AE039D" w:rsidRPr="00395BED" w:rsidRDefault="00AE039D" w:rsidP="00395BED">
      <w:pPr>
        <w:pStyle w:val="CorpsTexte"/>
        <w:rPr>
          <w:lang w:val="fr-CH"/>
        </w:rPr>
      </w:pPr>
      <w:r>
        <w:rPr>
          <w:lang w:val="fr-CH"/>
        </w:rPr>
        <w:t>Les malwares deviennent de plus en plus sophistiqués et visent désormais les appareils mobiles et les infrastructures réseaux.</w:t>
      </w:r>
    </w:p>
    <w:p w14:paraId="551FDE52" w14:textId="26F60400" w:rsidR="00395BED" w:rsidRDefault="00395BED" w:rsidP="00AE039D">
      <w:pPr>
        <w:pStyle w:val="Titre3"/>
        <w:rPr>
          <w:lang w:val="fr-CH"/>
        </w:rPr>
      </w:pPr>
      <w:r w:rsidRPr="00395BED">
        <w:rPr>
          <w:lang w:val="fr-CH"/>
        </w:rPr>
        <w:lastRenderedPageBreak/>
        <w:t>Conformité et e-discovery</w:t>
      </w:r>
    </w:p>
    <w:p w14:paraId="60DB666E" w14:textId="3AB94CC2" w:rsidR="00AE039D" w:rsidRPr="00395BED" w:rsidRDefault="00A84B35" w:rsidP="00395BED">
      <w:pPr>
        <w:pStyle w:val="CorpsTexte"/>
        <w:rPr>
          <w:lang w:val="fr-CH"/>
        </w:rPr>
      </w:pPr>
      <w:r>
        <w:rPr>
          <w:lang w:val="fr-CH"/>
        </w:rPr>
        <w:t xml:space="preserve">Le </w:t>
      </w:r>
      <w:r w:rsidRPr="00A84B35">
        <w:rPr>
          <w:lang w:val="fr-CH"/>
        </w:rPr>
        <w:t>règlement général sur la protection des données (RGPD</w:t>
      </w:r>
      <w:r>
        <w:rPr>
          <w:lang w:val="fr-CH"/>
        </w:rPr>
        <w:t>) réaffirme le rôle de la gouvernance informationn</w:t>
      </w:r>
      <w:r w:rsidR="002E60DD">
        <w:rPr>
          <w:lang w:val="fr-CH"/>
        </w:rPr>
        <w:t xml:space="preserve">elle en demandant la création d’un registre </w:t>
      </w:r>
      <w:r w:rsidR="000F1391">
        <w:rPr>
          <w:lang w:val="fr-CH"/>
        </w:rPr>
        <w:t>des activités de traitement</w:t>
      </w:r>
      <w:r w:rsidR="002E60DD">
        <w:rPr>
          <w:lang w:val="fr-CH"/>
        </w:rPr>
        <w:t>.</w:t>
      </w:r>
    </w:p>
    <w:p w14:paraId="72428498" w14:textId="386DEA19" w:rsidR="00395BED" w:rsidRPr="002D224C" w:rsidRDefault="00395BED" w:rsidP="00AE039D">
      <w:pPr>
        <w:pStyle w:val="Titre3"/>
        <w:rPr>
          <w:lang w:val="fr-CH"/>
        </w:rPr>
      </w:pPr>
      <w:r w:rsidRPr="002D224C">
        <w:rPr>
          <w:lang w:val="fr-CH"/>
        </w:rPr>
        <w:t>Automatisation</w:t>
      </w:r>
    </w:p>
    <w:p w14:paraId="6ADFB623" w14:textId="76E0FD52" w:rsidR="002B5721" w:rsidRPr="002D224C" w:rsidRDefault="002D224C" w:rsidP="002B5721">
      <w:pPr>
        <w:pStyle w:val="CorpsTexte"/>
        <w:rPr>
          <w:lang w:val="fr-CH"/>
        </w:rPr>
      </w:pPr>
      <w:r w:rsidRPr="002D224C">
        <w:rPr>
          <w:lang w:val="fr-CH"/>
        </w:rPr>
        <w:t>L’automatisation pour les fonctions de classification ou d’évaluation s’avèrent désormais indispensables pour gérer le volume des informations produites. Dawson (2019) relève que les</w:t>
      </w:r>
      <w:r w:rsidR="002B5721" w:rsidRPr="002D224C">
        <w:rPr>
          <w:lang w:val="fr-CH"/>
        </w:rPr>
        <w:t xml:space="preserve"> organisations créent, enregistrent et gèrent beaucoup trop d'informations pour un classement manuel. Dayley et al</w:t>
      </w:r>
      <w:r w:rsidR="002B5721" w:rsidRPr="00A60EC2">
        <w:rPr>
          <w:lang w:val="fr-CH"/>
        </w:rPr>
        <w:t xml:space="preserve">. </w:t>
      </w:r>
      <w:r w:rsidR="00E403DB" w:rsidRPr="00A60EC2">
        <w:rPr>
          <w:lang w:val="fr-CH"/>
        </w:rPr>
        <w:t>(</w:t>
      </w:r>
      <w:r w:rsidR="002B5721" w:rsidRPr="00A60EC2">
        <w:rPr>
          <w:lang w:val="fr-CH"/>
        </w:rPr>
        <w:t>2018</w:t>
      </w:r>
      <w:r w:rsidR="00E403DB" w:rsidRPr="00A60EC2">
        <w:rPr>
          <w:lang w:val="fr-CH"/>
        </w:rPr>
        <w:t>)</w:t>
      </w:r>
      <w:r w:rsidR="002B5721" w:rsidRPr="002D224C">
        <w:rPr>
          <w:lang w:val="fr-CH"/>
        </w:rPr>
        <w:t xml:space="preserve"> notent dans leur recherche que plus de 80% de l'information d'une organisation est composée de données non structurées, réparties ainsi :</w:t>
      </w:r>
    </w:p>
    <w:p w14:paraId="235B4DC9" w14:textId="77777777" w:rsidR="002B5721" w:rsidRPr="002D224C" w:rsidRDefault="002B5721" w:rsidP="00423BDC">
      <w:pPr>
        <w:pStyle w:val="CorpsTexte"/>
        <w:numPr>
          <w:ilvl w:val="0"/>
          <w:numId w:val="5"/>
        </w:numPr>
        <w:rPr>
          <w:lang w:val="fr-CH"/>
        </w:rPr>
      </w:pPr>
      <w:r w:rsidRPr="002D224C">
        <w:rPr>
          <w:lang w:val="fr-CH"/>
        </w:rPr>
        <w:t>Données réglementaires ou de conformité = &lt; 1%</w:t>
      </w:r>
    </w:p>
    <w:p w14:paraId="00C3CF3F" w14:textId="65265D06" w:rsidR="002B5721" w:rsidRPr="002D224C" w:rsidRDefault="002B5721" w:rsidP="00423BDC">
      <w:pPr>
        <w:pStyle w:val="CorpsTexte"/>
        <w:numPr>
          <w:ilvl w:val="0"/>
          <w:numId w:val="5"/>
        </w:numPr>
        <w:rPr>
          <w:lang w:val="fr-CH"/>
        </w:rPr>
      </w:pPr>
      <w:r w:rsidRPr="002D224C">
        <w:rPr>
          <w:lang w:val="fr-CH"/>
        </w:rPr>
        <w:t>Données sur la mise en suspens légale = &lt; 1%</w:t>
      </w:r>
    </w:p>
    <w:p w14:paraId="72F25257" w14:textId="77777777" w:rsidR="002B5721" w:rsidRPr="002D224C" w:rsidRDefault="002B5721" w:rsidP="00423BDC">
      <w:pPr>
        <w:pStyle w:val="CorpsTexte"/>
        <w:numPr>
          <w:ilvl w:val="0"/>
          <w:numId w:val="5"/>
        </w:numPr>
        <w:rPr>
          <w:lang w:val="fr-CH"/>
        </w:rPr>
      </w:pPr>
      <w:r w:rsidRPr="002D224C">
        <w:rPr>
          <w:lang w:val="fr-CH"/>
        </w:rPr>
        <w:t>Données dignes de mention = &lt; 2%</w:t>
      </w:r>
    </w:p>
    <w:p w14:paraId="554DC51F" w14:textId="7605DA33" w:rsidR="002B5721" w:rsidRPr="002D224C" w:rsidRDefault="002B5721" w:rsidP="00423BDC">
      <w:pPr>
        <w:pStyle w:val="CorpsTexte"/>
        <w:numPr>
          <w:ilvl w:val="0"/>
          <w:numId w:val="5"/>
        </w:numPr>
        <w:rPr>
          <w:lang w:val="fr-CH"/>
        </w:rPr>
      </w:pPr>
      <w:r w:rsidRPr="002D224C">
        <w:rPr>
          <w:lang w:val="fr-CH"/>
        </w:rPr>
        <w:t>Données en cours de fabrication, données de référence ou de valeur analytique = ~15%</w:t>
      </w:r>
    </w:p>
    <w:p w14:paraId="7CC39CC7" w14:textId="5EECF71B" w:rsidR="00AE039D" w:rsidRDefault="002B5721" w:rsidP="00423BDC">
      <w:pPr>
        <w:pStyle w:val="CorpsTexte"/>
        <w:numPr>
          <w:ilvl w:val="0"/>
          <w:numId w:val="5"/>
        </w:numPr>
        <w:rPr>
          <w:lang w:val="fr-CH"/>
        </w:rPr>
      </w:pPr>
      <w:r w:rsidRPr="002D224C">
        <w:rPr>
          <w:lang w:val="fr-CH"/>
        </w:rPr>
        <w:t>Données redondantes, obsolètes et/ou triviales = ~80%</w:t>
      </w:r>
    </w:p>
    <w:p w14:paraId="3FEB01F9" w14:textId="152F09DF" w:rsidR="00E05747" w:rsidRPr="00E81080" w:rsidRDefault="00E05747" w:rsidP="00E05747">
      <w:pPr>
        <w:pStyle w:val="Titre2"/>
        <w:rPr>
          <w:lang w:val="fr-CH"/>
        </w:rPr>
      </w:pPr>
      <w:r w:rsidRPr="00E81080">
        <w:rPr>
          <w:lang w:val="fr-CH"/>
        </w:rPr>
        <w:t>IG en Australie et Nouvelle-Zélande: enquête 2019</w:t>
      </w:r>
    </w:p>
    <w:p w14:paraId="434267CD" w14:textId="3F1AAEBA" w:rsidR="00C44482" w:rsidRPr="00E81080" w:rsidRDefault="00C44482" w:rsidP="00C44482">
      <w:pPr>
        <w:pStyle w:val="Titre3"/>
        <w:rPr>
          <w:lang w:val="fr-CH"/>
        </w:rPr>
      </w:pPr>
      <w:r w:rsidRPr="00E81080">
        <w:rPr>
          <w:lang w:val="fr-CH"/>
        </w:rPr>
        <w:t>Profil des participants</w:t>
      </w:r>
    </w:p>
    <w:p w14:paraId="73044546" w14:textId="63B85DE7" w:rsidR="004607B9" w:rsidRPr="00E81080" w:rsidRDefault="004607B9" w:rsidP="00C44482">
      <w:pPr>
        <w:pStyle w:val="CorpsTexte"/>
        <w:rPr>
          <w:lang w:val="fr-CH"/>
        </w:rPr>
      </w:pPr>
      <w:r w:rsidRPr="00E81080">
        <w:rPr>
          <w:lang w:val="fr-CH"/>
        </w:rPr>
        <w:t>L’enquête cible majoritairement l’Australie (85% de répondants) et la Nouvelle-Zélande (8%).</w:t>
      </w:r>
    </w:p>
    <w:p w14:paraId="475213BB" w14:textId="3B16E853" w:rsidR="004607B9" w:rsidRPr="00AE039D" w:rsidRDefault="00C44482" w:rsidP="00C44482">
      <w:pPr>
        <w:pStyle w:val="CorpsTexte"/>
        <w:rPr>
          <w:lang w:val="fr-CH"/>
        </w:rPr>
      </w:pPr>
      <w:r w:rsidRPr="00E81080">
        <w:rPr>
          <w:lang w:val="fr-CH"/>
        </w:rPr>
        <w:t>Les participants proviennent pour la plupart d’organisations gouvernementales (61%) et sont i</w:t>
      </w:r>
      <w:r w:rsidRPr="00AE039D">
        <w:rPr>
          <w:lang w:val="fr-CH"/>
        </w:rPr>
        <w:t>mpliqués dans la gouvernance informationnelle.</w:t>
      </w:r>
    </w:p>
    <w:p w14:paraId="6BAEAB67" w14:textId="5BE00592" w:rsidR="007F5870" w:rsidRPr="00AE039D" w:rsidRDefault="0037281E" w:rsidP="00C44482">
      <w:pPr>
        <w:pStyle w:val="Titre3"/>
        <w:rPr>
          <w:lang w:val="fr-CH"/>
        </w:rPr>
      </w:pPr>
      <w:r w:rsidRPr="00AE039D">
        <w:rPr>
          <w:lang w:val="fr-CH"/>
        </w:rPr>
        <w:t>Les principaux facteurs motivant les projets d'IG</w:t>
      </w:r>
    </w:p>
    <w:p w14:paraId="4153E26E" w14:textId="586B007E" w:rsidR="00C44482" w:rsidRPr="00AE039D" w:rsidRDefault="004349C3" w:rsidP="00C44482">
      <w:pPr>
        <w:pStyle w:val="CorpsTexte"/>
        <w:rPr>
          <w:lang w:val="fr-CH"/>
        </w:rPr>
      </w:pPr>
      <w:r>
        <w:rPr>
          <w:noProof/>
          <w:lang w:val="fr-CH" w:eastAsia="fr-CH"/>
        </w:rPr>
        <w:drawing>
          <wp:anchor distT="0" distB="0" distL="114300" distR="114300" simplePos="0" relativeHeight="251658240" behindDoc="0" locked="0" layoutInCell="1" allowOverlap="1" wp14:anchorId="384D1A09" wp14:editId="3C8461D0">
            <wp:simplePos x="0" y="0"/>
            <wp:positionH relativeFrom="column">
              <wp:posOffset>2396747</wp:posOffset>
            </wp:positionH>
            <wp:positionV relativeFrom="paragraph">
              <wp:posOffset>347235</wp:posOffset>
            </wp:positionV>
            <wp:extent cx="3414032" cy="3291674"/>
            <wp:effectExtent l="0" t="0" r="0" b="444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7575" cy="3295090"/>
                    </a:xfrm>
                    <a:prstGeom prst="rect">
                      <a:avLst/>
                    </a:prstGeom>
                    <a:noFill/>
                  </pic:spPr>
                </pic:pic>
              </a:graphicData>
            </a:graphic>
            <wp14:sizeRelH relativeFrom="margin">
              <wp14:pctWidth>0</wp14:pctWidth>
            </wp14:sizeRelH>
            <wp14:sizeRelV relativeFrom="margin">
              <wp14:pctHeight>0</wp14:pctHeight>
            </wp14:sizeRelV>
          </wp:anchor>
        </w:drawing>
      </w:r>
      <w:r w:rsidR="00C44482" w:rsidRPr="00AE039D">
        <w:rPr>
          <w:lang w:val="fr-CH"/>
        </w:rPr>
        <w:t>Selon les participants, quatre principaux facteurs motivent les projets de gouvernance informationnelle</w:t>
      </w:r>
      <w:r w:rsidR="00E81080" w:rsidRPr="00AE039D">
        <w:rPr>
          <w:lang w:val="fr-CH"/>
        </w:rPr>
        <w:t> </w:t>
      </w:r>
      <w:r w:rsidR="00C44482" w:rsidRPr="00AE039D">
        <w:rPr>
          <w:lang w:val="fr-CH"/>
        </w:rPr>
        <w:t>:</w:t>
      </w:r>
    </w:p>
    <w:p w14:paraId="5033C1FD" w14:textId="3D895412" w:rsidR="00C44482" w:rsidRPr="00AE039D" w:rsidRDefault="00C44482" w:rsidP="00423BDC">
      <w:pPr>
        <w:pStyle w:val="CorpsTexte"/>
        <w:numPr>
          <w:ilvl w:val="0"/>
          <w:numId w:val="4"/>
        </w:numPr>
        <w:rPr>
          <w:lang w:val="fr-CH"/>
        </w:rPr>
      </w:pPr>
      <w:r w:rsidRPr="00AE039D">
        <w:rPr>
          <w:lang w:val="fr-CH"/>
        </w:rPr>
        <w:t>Efficience administrative</w:t>
      </w:r>
    </w:p>
    <w:p w14:paraId="6CA5E5D8" w14:textId="26AC8F9C" w:rsidR="00C44482" w:rsidRPr="00AE039D" w:rsidRDefault="00C44482" w:rsidP="00423BDC">
      <w:pPr>
        <w:pStyle w:val="CorpsTexte"/>
        <w:numPr>
          <w:ilvl w:val="0"/>
          <w:numId w:val="4"/>
        </w:numPr>
        <w:rPr>
          <w:lang w:val="fr-CH"/>
        </w:rPr>
      </w:pPr>
      <w:r w:rsidRPr="00AE039D">
        <w:rPr>
          <w:lang w:val="fr-CH"/>
        </w:rPr>
        <w:t>Conformité</w:t>
      </w:r>
    </w:p>
    <w:p w14:paraId="336F6EA1" w14:textId="78811893" w:rsidR="00C44482" w:rsidRPr="00AE039D" w:rsidRDefault="00C44482" w:rsidP="00423BDC">
      <w:pPr>
        <w:pStyle w:val="CorpsTexte"/>
        <w:numPr>
          <w:ilvl w:val="0"/>
          <w:numId w:val="4"/>
        </w:numPr>
        <w:rPr>
          <w:lang w:val="fr-CH"/>
        </w:rPr>
      </w:pPr>
      <w:r w:rsidRPr="00AE039D">
        <w:rPr>
          <w:lang w:val="fr-CH"/>
        </w:rPr>
        <w:t>Transition numérique</w:t>
      </w:r>
    </w:p>
    <w:p w14:paraId="2AB54330" w14:textId="54F3E456" w:rsidR="00C44482" w:rsidRPr="00AE039D" w:rsidRDefault="00C44482" w:rsidP="00423BDC">
      <w:pPr>
        <w:pStyle w:val="CorpsTexte"/>
        <w:numPr>
          <w:ilvl w:val="0"/>
          <w:numId w:val="4"/>
        </w:numPr>
        <w:rPr>
          <w:lang w:val="fr-CH"/>
        </w:rPr>
      </w:pPr>
      <w:r w:rsidRPr="00AE039D">
        <w:rPr>
          <w:lang w:val="fr-CH"/>
        </w:rPr>
        <w:t>Risques informationnels</w:t>
      </w:r>
    </w:p>
    <w:p w14:paraId="50D20BD2" w14:textId="605BE51D" w:rsidR="007A08E0" w:rsidRPr="007A08E0" w:rsidRDefault="007A08E0" w:rsidP="007A08E0">
      <w:pPr>
        <w:pStyle w:val="CorpsTexte"/>
        <w:rPr>
          <w:lang w:val="fr-CH"/>
        </w:rPr>
      </w:pPr>
    </w:p>
    <w:p w14:paraId="40716912" w14:textId="323E0893" w:rsidR="007A08E0" w:rsidRPr="007A08E0" w:rsidRDefault="007A08E0" w:rsidP="007A08E0">
      <w:pPr>
        <w:pStyle w:val="CorpsTexte"/>
        <w:rPr>
          <w:lang w:val="fr-CH"/>
        </w:rPr>
      </w:pPr>
    </w:p>
    <w:p w14:paraId="10DBABCC" w14:textId="3244CEF2" w:rsidR="007A08E0" w:rsidRPr="007A08E0" w:rsidRDefault="007A08E0" w:rsidP="007A08E0">
      <w:pPr>
        <w:pStyle w:val="CorpsTexte"/>
        <w:rPr>
          <w:lang w:val="fr-CH"/>
        </w:rPr>
      </w:pPr>
    </w:p>
    <w:p w14:paraId="14C3F1CF" w14:textId="7DA22419" w:rsidR="007A08E0" w:rsidRPr="007A08E0" w:rsidRDefault="007A08E0" w:rsidP="007A08E0">
      <w:pPr>
        <w:pStyle w:val="CorpsTexte"/>
        <w:rPr>
          <w:lang w:val="fr-CH"/>
        </w:rPr>
      </w:pPr>
    </w:p>
    <w:p w14:paraId="504FCC77" w14:textId="018DD5F1" w:rsidR="007A08E0" w:rsidRPr="007A08E0" w:rsidRDefault="007A08E0" w:rsidP="007A08E0">
      <w:pPr>
        <w:pStyle w:val="CorpsTexte"/>
        <w:rPr>
          <w:lang w:val="fr-CH"/>
        </w:rPr>
      </w:pPr>
    </w:p>
    <w:p w14:paraId="3955260A" w14:textId="1A6C9D81" w:rsidR="007A08E0" w:rsidRPr="007A08E0" w:rsidRDefault="007A08E0" w:rsidP="007A08E0">
      <w:pPr>
        <w:pStyle w:val="CorpsTexte"/>
        <w:rPr>
          <w:lang w:val="fr-CH"/>
        </w:rPr>
      </w:pPr>
    </w:p>
    <w:p w14:paraId="53E319CE" w14:textId="66D8BC7F" w:rsidR="007A08E0" w:rsidRPr="007A08E0" w:rsidRDefault="007A08E0" w:rsidP="007A08E0">
      <w:pPr>
        <w:pStyle w:val="CorpsTexte"/>
        <w:rPr>
          <w:lang w:val="fr-CH"/>
        </w:rPr>
      </w:pPr>
    </w:p>
    <w:p w14:paraId="23C44787" w14:textId="6F948E73" w:rsidR="007A08E0" w:rsidRPr="007A08E0" w:rsidRDefault="007A08E0" w:rsidP="007A08E0">
      <w:pPr>
        <w:pStyle w:val="CorpsTexte"/>
        <w:rPr>
          <w:lang w:val="fr-CH"/>
        </w:rPr>
      </w:pPr>
    </w:p>
    <w:p w14:paraId="3129C17F" w14:textId="76EAA08A" w:rsidR="007A08E0" w:rsidRPr="007A08E0" w:rsidRDefault="007A08E0" w:rsidP="007A08E0">
      <w:pPr>
        <w:pStyle w:val="CorpsTexte"/>
        <w:rPr>
          <w:lang w:val="fr-CH"/>
        </w:rPr>
      </w:pPr>
    </w:p>
    <w:p w14:paraId="7A722953" w14:textId="77777777" w:rsidR="007A08E0" w:rsidRPr="007A08E0" w:rsidRDefault="007A08E0" w:rsidP="007A08E0">
      <w:pPr>
        <w:pStyle w:val="Source"/>
        <w:rPr>
          <w:lang w:val="fr-CH"/>
        </w:rPr>
      </w:pPr>
    </w:p>
    <w:p w14:paraId="221DCD70" w14:textId="58922B91" w:rsidR="007A08E0" w:rsidRPr="007A08E0" w:rsidRDefault="007A08E0" w:rsidP="007A08E0">
      <w:pPr>
        <w:pStyle w:val="Source"/>
        <w:rPr>
          <w:lang w:val="fr-CH"/>
        </w:rPr>
      </w:pPr>
      <w:r w:rsidRPr="007A08E0">
        <w:rPr>
          <w:lang w:val="fr-CH"/>
        </w:rPr>
        <w:t>(</w:t>
      </w:r>
      <w:r w:rsidR="004349C3" w:rsidRPr="004349C3">
        <w:rPr>
          <w:lang w:val="fr-CH"/>
        </w:rPr>
        <w:t>Information Governance ANZ 2021, p. 8</w:t>
      </w:r>
      <w:r w:rsidRPr="007A08E0">
        <w:rPr>
          <w:lang w:val="fr-CH"/>
        </w:rPr>
        <w:t>)</w:t>
      </w:r>
    </w:p>
    <w:p w14:paraId="71E62864" w14:textId="1E08C09D" w:rsidR="0037281E" w:rsidRPr="007A08E0" w:rsidRDefault="0037281E" w:rsidP="00C44482">
      <w:pPr>
        <w:pStyle w:val="Titre3"/>
        <w:rPr>
          <w:lang w:val="fr-CH"/>
        </w:rPr>
      </w:pPr>
      <w:r w:rsidRPr="007A08E0">
        <w:rPr>
          <w:lang w:val="fr-CH"/>
        </w:rPr>
        <w:lastRenderedPageBreak/>
        <w:t>Maturité de la gouvernance informationnelle</w:t>
      </w:r>
    </w:p>
    <w:p w14:paraId="0B8A59BC" w14:textId="5AA6F987" w:rsidR="00C44482" w:rsidRPr="007A08E0" w:rsidRDefault="004349C3" w:rsidP="003C0BB4">
      <w:pPr>
        <w:jc w:val="center"/>
        <w:rPr>
          <w:lang w:val="fr-CH"/>
        </w:rPr>
      </w:pPr>
      <w:r>
        <w:rPr>
          <w:noProof/>
          <w:lang w:val="fr-CH" w:eastAsia="fr-CH"/>
        </w:rPr>
        <w:drawing>
          <wp:inline distT="0" distB="0" distL="0" distR="0" wp14:anchorId="3C786B89" wp14:editId="6A6C5FE0">
            <wp:extent cx="6084570" cy="4895215"/>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4570" cy="4895215"/>
                    </a:xfrm>
                    <a:prstGeom prst="rect">
                      <a:avLst/>
                    </a:prstGeom>
                    <a:noFill/>
                  </pic:spPr>
                </pic:pic>
              </a:graphicData>
            </a:graphic>
          </wp:inline>
        </w:drawing>
      </w:r>
    </w:p>
    <w:p w14:paraId="213A3E02" w14:textId="5CD8ED73" w:rsidR="007A08E0" w:rsidRPr="007A08E0" w:rsidRDefault="007A08E0" w:rsidP="007A08E0">
      <w:pPr>
        <w:pStyle w:val="Source"/>
        <w:rPr>
          <w:lang w:val="fr-CH"/>
        </w:rPr>
      </w:pPr>
      <w:r w:rsidRPr="007A08E0">
        <w:rPr>
          <w:lang w:val="fr-CH"/>
        </w:rPr>
        <w:t>(</w:t>
      </w:r>
      <w:r w:rsidR="004349C3" w:rsidRPr="004349C3">
        <w:rPr>
          <w:lang w:val="fr-CH"/>
        </w:rPr>
        <w:t>Information Governance ANZ 2021, p. 9</w:t>
      </w:r>
      <w:r w:rsidRPr="007A08E0">
        <w:rPr>
          <w:lang w:val="fr-CH"/>
        </w:rPr>
        <w:t>)</w:t>
      </w:r>
    </w:p>
    <w:p w14:paraId="489CB7E3" w14:textId="7B98E6B4" w:rsidR="00E05747" w:rsidRPr="00395BED" w:rsidRDefault="00E05747" w:rsidP="00E05747">
      <w:pPr>
        <w:pStyle w:val="Titre2"/>
        <w:rPr>
          <w:lang w:val="fr-CH"/>
        </w:rPr>
      </w:pPr>
      <w:r w:rsidRPr="00395BED">
        <w:rPr>
          <w:lang w:val="fr-CH"/>
        </w:rPr>
        <w:t>10 éléments à savoir sur l'automatisation de la GI</w:t>
      </w:r>
      <w:r w:rsidR="00934C76" w:rsidRPr="00395BED">
        <w:rPr>
          <w:lang w:val="fr-CH"/>
        </w:rPr>
        <w:t xml:space="preserve"> (AIIM </w:t>
      </w:r>
      <w:r w:rsidR="00D94D50">
        <w:rPr>
          <w:lang w:val="fr-CH"/>
        </w:rPr>
        <w:t>2019</w:t>
      </w:r>
      <w:r w:rsidR="00934C76" w:rsidRPr="00395BED">
        <w:rPr>
          <w:lang w:val="fr-CH"/>
        </w:rPr>
        <w:t>)</w:t>
      </w:r>
    </w:p>
    <w:p w14:paraId="063D753A" w14:textId="21668263" w:rsidR="00886ADD" w:rsidRPr="00395BED" w:rsidRDefault="00886ADD" w:rsidP="00921812">
      <w:pPr>
        <w:pStyle w:val="CorpsTexte"/>
        <w:numPr>
          <w:ilvl w:val="0"/>
          <w:numId w:val="2"/>
        </w:numPr>
        <w:rPr>
          <w:lang w:val="fr-CH"/>
        </w:rPr>
      </w:pPr>
      <w:r w:rsidRPr="00395BED">
        <w:rPr>
          <w:lang w:val="fr-CH"/>
        </w:rPr>
        <w:t>79% des organisations réalisent qu’ils doivent opérer une véritable transformation numérique pour survivre ;</w:t>
      </w:r>
    </w:p>
    <w:p w14:paraId="5BAE9185" w14:textId="0AFBC720" w:rsidR="00886ADD" w:rsidRPr="00395BED" w:rsidRDefault="00886ADD" w:rsidP="00921812">
      <w:pPr>
        <w:pStyle w:val="CorpsTexte"/>
        <w:numPr>
          <w:ilvl w:val="0"/>
          <w:numId w:val="2"/>
        </w:numPr>
        <w:rPr>
          <w:lang w:val="fr-CH"/>
        </w:rPr>
      </w:pPr>
      <w:r w:rsidRPr="00395BED">
        <w:rPr>
          <w:lang w:val="fr-CH"/>
        </w:rPr>
        <w:t>Dans les deux ans qui suivent le volume d'information croitra d'un facteur 4.2 et plus de 60% de ces informations seront non ou semi-structurées ;</w:t>
      </w:r>
    </w:p>
    <w:p w14:paraId="5311717C" w14:textId="2482CA21" w:rsidR="00886ADD" w:rsidRPr="00395BED" w:rsidRDefault="00886ADD" w:rsidP="00921812">
      <w:pPr>
        <w:pStyle w:val="CorpsTexte"/>
        <w:numPr>
          <w:ilvl w:val="0"/>
          <w:numId w:val="2"/>
        </w:numPr>
        <w:rPr>
          <w:lang w:val="fr-CH"/>
        </w:rPr>
      </w:pPr>
      <w:r w:rsidRPr="00395BED">
        <w:rPr>
          <w:lang w:val="fr-CH"/>
        </w:rPr>
        <w:t>Près des trois-quarts des organisations estiment la gouvernance informationnelle comme importante ou critique pour leur stratégie ;</w:t>
      </w:r>
    </w:p>
    <w:p w14:paraId="5F3B778A" w14:textId="67DF9BBA" w:rsidR="00886ADD" w:rsidRPr="00395BED" w:rsidRDefault="00886ADD" w:rsidP="00921812">
      <w:pPr>
        <w:pStyle w:val="CorpsTexte"/>
        <w:numPr>
          <w:ilvl w:val="0"/>
          <w:numId w:val="2"/>
        </w:numPr>
        <w:rPr>
          <w:lang w:val="fr-CH"/>
        </w:rPr>
      </w:pPr>
      <w:r w:rsidRPr="00395BED">
        <w:rPr>
          <w:lang w:val="fr-CH"/>
        </w:rPr>
        <w:t>En cinq ans, le pourcentage d'organisation affirmant avoir des politiques de gouvernance informationnelles robustes et à l'échelle de l'organisation a presque doublé, passant de 14% à 25% ;</w:t>
      </w:r>
    </w:p>
    <w:p w14:paraId="4DBE8571" w14:textId="120E9387" w:rsidR="00886ADD" w:rsidRPr="00395BED" w:rsidRDefault="00886ADD" w:rsidP="00921812">
      <w:pPr>
        <w:pStyle w:val="CorpsTexte"/>
        <w:numPr>
          <w:ilvl w:val="0"/>
          <w:numId w:val="2"/>
        </w:numPr>
        <w:rPr>
          <w:lang w:val="fr-CH"/>
        </w:rPr>
      </w:pPr>
      <w:r w:rsidRPr="00395BED">
        <w:rPr>
          <w:lang w:val="fr-CH"/>
        </w:rPr>
        <w:t>Les risques perçus comme associés à un échec de gouvernance informationnelle ne se limitent plus au risque légal</w:t>
      </w:r>
      <w:r w:rsidR="00027EDB" w:rsidRPr="00395BED">
        <w:rPr>
          <w:lang w:val="fr-CH"/>
        </w:rPr>
        <w:t xml:space="preserve"> et concernent également</w:t>
      </w:r>
      <w:r w:rsidRPr="00395BED">
        <w:rPr>
          <w:lang w:val="fr-CH"/>
        </w:rPr>
        <w:t> :</w:t>
      </w:r>
    </w:p>
    <w:p w14:paraId="26671F0D" w14:textId="77777777" w:rsidR="00027EDB" w:rsidRPr="00395BED" w:rsidRDefault="00027EDB" w:rsidP="00921812">
      <w:pPr>
        <w:pStyle w:val="CorpsTexte"/>
        <w:numPr>
          <w:ilvl w:val="1"/>
          <w:numId w:val="3"/>
        </w:numPr>
        <w:rPr>
          <w:lang w:val="fr-CH"/>
        </w:rPr>
      </w:pPr>
      <w:r w:rsidRPr="00395BED">
        <w:rPr>
          <w:lang w:val="fr-CH"/>
        </w:rPr>
        <w:t>pour 41% la perte de confiance ou la mauvaise publicité liées à la perte de données</w:t>
      </w:r>
    </w:p>
    <w:p w14:paraId="5D1F09DE" w14:textId="77777777" w:rsidR="00027EDB" w:rsidRPr="00395BED" w:rsidRDefault="00027EDB" w:rsidP="00921812">
      <w:pPr>
        <w:pStyle w:val="CorpsTexte"/>
        <w:numPr>
          <w:ilvl w:val="1"/>
          <w:numId w:val="3"/>
        </w:numPr>
        <w:rPr>
          <w:lang w:val="fr-CH"/>
        </w:rPr>
      </w:pPr>
      <w:r w:rsidRPr="00395BED">
        <w:rPr>
          <w:lang w:val="fr-CH"/>
        </w:rPr>
        <w:t>pour 38% les mesures prises suite à une perte ou une exposition de données personnelles</w:t>
      </w:r>
    </w:p>
    <w:p w14:paraId="0ACA62D1" w14:textId="77777777" w:rsidR="00027EDB" w:rsidRPr="00395BED" w:rsidRDefault="00027EDB" w:rsidP="00921812">
      <w:pPr>
        <w:pStyle w:val="CorpsTexte"/>
        <w:numPr>
          <w:ilvl w:val="1"/>
          <w:numId w:val="3"/>
        </w:numPr>
        <w:rPr>
          <w:lang w:val="fr-CH"/>
        </w:rPr>
      </w:pPr>
      <w:r w:rsidRPr="00395BED">
        <w:rPr>
          <w:lang w:val="fr-CH"/>
        </w:rPr>
        <w:t>pour 35% la perte de propriété intellectuelle ou d'informations confidentielles pour l'entreprise</w:t>
      </w:r>
    </w:p>
    <w:p w14:paraId="543E639B" w14:textId="113DA540" w:rsidR="00027EDB" w:rsidRPr="00395BED" w:rsidRDefault="00027EDB" w:rsidP="00921812">
      <w:pPr>
        <w:pStyle w:val="CorpsTexte"/>
        <w:numPr>
          <w:ilvl w:val="1"/>
          <w:numId w:val="3"/>
        </w:numPr>
        <w:rPr>
          <w:lang w:val="fr-CH"/>
        </w:rPr>
      </w:pPr>
      <w:r w:rsidRPr="00395BED">
        <w:rPr>
          <w:lang w:val="fr-CH"/>
        </w:rPr>
        <w:lastRenderedPageBreak/>
        <w:t>pour 34% les coûts liées à des litiges suite à une mauvaise tenue des dossiers</w:t>
      </w:r>
    </w:p>
    <w:p w14:paraId="4C9BCE02" w14:textId="4B0FB97E" w:rsidR="00886ADD" w:rsidRPr="00395BED" w:rsidRDefault="00886ADD" w:rsidP="00921812">
      <w:pPr>
        <w:pStyle w:val="CorpsTexte"/>
        <w:numPr>
          <w:ilvl w:val="0"/>
          <w:numId w:val="2"/>
        </w:numPr>
        <w:rPr>
          <w:lang w:val="fr-CH"/>
        </w:rPr>
      </w:pPr>
      <w:r w:rsidRPr="00395BED">
        <w:rPr>
          <w:lang w:val="fr-CH"/>
        </w:rPr>
        <w:t>43% des organisations estiment qu'elles ne dépensent pas assez pour la GI vis-à-vis des risques informationnels et 14% estiment qu'elles dépensent trop</w:t>
      </w:r>
      <w:r w:rsidR="002C794D" w:rsidRPr="00395BED">
        <w:rPr>
          <w:lang w:val="fr-CH"/>
        </w:rPr>
        <w:t> </w:t>
      </w:r>
      <w:r w:rsidRPr="00395BED">
        <w:rPr>
          <w:lang w:val="fr-CH"/>
        </w:rPr>
        <w:t>;</w:t>
      </w:r>
    </w:p>
    <w:p w14:paraId="103AF274" w14:textId="64A91D4F" w:rsidR="00886ADD" w:rsidRPr="00395BED" w:rsidRDefault="00886ADD" w:rsidP="00921812">
      <w:pPr>
        <w:pStyle w:val="CorpsTexte"/>
        <w:numPr>
          <w:ilvl w:val="0"/>
          <w:numId w:val="2"/>
        </w:numPr>
        <w:rPr>
          <w:lang w:val="fr-CH"/>
        </w:rPr>
      </w:pPr>
      <w:r w:rsidRPr="00395BED">
        <w:rPr>
          <w:lang w:val="fr-CH"/>
        </w:rPr>
        <w:t>53% des organisations estiment l'automatisation des processus de gouvernance informationnelle comme très importants</w:t>
      </w:r>
      <w:r w:rsidR="002C794D" w:rsidRPr="00395BED">
        <w:rPr>
          <w:lang w:val="fr-CH"/>
        </w:rPr>
        <w:t> ;</w:t>
      </w:r>
    </w:p>
    <w:p w14:paraId="407409CF" w14:textId="791AE324" w:rsidR="00886ADD" w:rsidRPr="00395BED" w:rsidRDefault="00886ADD" w:rsidP="00921812">
      <w:pPr>
        <w:pStyle w:val="CorpsTexte"/>
        <w:numPr>
          <w:ilvl w:val="0"/>
          <w:numId w:val="2"/>
        </w:numPr>
        <w:rPr>
          <w:lang w:val="fr-CH"/>
        </w:rPr>
      </w:pPr>
      <w:r w:rsidRPr="00395BED">
        <w:rPr>
          <w:lang w:val="fr-CH"/>
        </w:rPr>
        <w:t>70&amp; des organisations voient un lien entre l'intelligence artificielle et leur futur succès, en matière de capture de l'information</w:t>
      </w:r>
      <w:r w:rsidR="002C794D" w:rsidRPr="00395BED">
        <w:rPr>
          <w:lang w:val="fr-CH"/>
        </w:rPr>
        <w:t> </w:t>
      </w:r>
      <w:r w:rsidRPr="00395BED">
        <w:rPr>
          <w:lang w:val="fr-CH"/>
        </w:rPr>
        <w:t>;</w:t>
      </w:r>
    </w:p>
    <w:p w14:paraId="3EA9107B" w14:textId="127E9F8A" w:rsidR="00886ADD" w:rsidRPr="00395BED" w:rsidRDefault="00886ADD" w:rsidP="00921812">
      <w:pPr>
        <w:pStyle w:val="CorpsTexte"/>
        <w:numPr>
          <w:ilvl w:val="0"/>
          <w:numId w:val="2"/>
        </w:numPr>
        <w:rPr>
          <w:lang w:val="fr-CH"/>
        </w:rPr>
      </w:pPr>
      <w:r w:rsidRPr="00395BED">
        <w:rPr>
          <w:lang w:val="fr-CH"/>
        </w:rPr>
        <w:t>Seuls 38% des organisations s'estiment avancées ou très avancées dans l'adoption d'outils d'intelligence artificielle pour l'automatisation des processus de gouvernance informationnelle</w:t>
      </w:r>
      <w:r w:rsidR="002C794D" w:rsidRPr="00395BED">
        <w:rPr>
          <w:lang w:val="fr-CH"/>
        </w:rPr>
        <w:t> </w:t>
      </w:r>
      <w:r w:rsidRPr="00395BED">
        <w:rPr>
          <w:lang w:val="fr-CH"/>
        </w:rPr>
        <w:t>;</w:t>
      </w:r>
    </w:p>
    <w:p w14:paraId="5101F0CA" w14:textId="76EA270E" w:rsidR="00886ADD" w:rsidRPr="00395BED" w:rsidRDefault="00886ADD" w:rsidP="00921812">
      <w:pPr>
        <w:pStyle w:val="CorpsTexte"/>
        <w:numPr>
          <w:ilvl w:val="0"/>
          <w:numId w:val="2"/>
        </w:numPr>
        <w:rPr>
          <w:lang w:val="fr-CH"/>
        </w:rPr>
      </w:pPr>
      <w:r w:rsidRPr="00395BED">
        <w:rPr>
          <w:lang w:val="fr-CH"/>
        </w:rPr>
        <w:t xml:space="preserve">Seuls 42% des organisations s'estiment avancées ou très avancées dans l'utilisation de </w:t>
      </w:r>
      <w:r w:rsidRPr="00395BED">
        <w:rPr>
          <w:i/>
          <w:lang w:val="fr-CH"/>
        </w:rPr>
        <w:t>machine learning</w:t>
      </w:r>
      <w:r w:rsidRPr="00395BED">
        <w:rPr>
          <w:lang w:val="fr-CH"/>
        </w:rPr>
        <w:t xml:space="preserve"> afin d'extraire le contenu et alimenter les métadonnées d'un document.</w:t>
      </w:r>
    </w:p>
    <w:p w14:paraId="245FD3AC" w14:textId="77777777" w:rsidR="00934C76" w:rsidRDefault="00934C76" w:rsidP="00934C76">
      <w:pPr>
        <w:pStyle w:val="CorpsTexte"/>
        <w:rPr>
          <w:lang w:val="fr-CH"/>
        </w:rPr>
      </w:pPr>
      <w:r w:rsidRPr="00395BED">
        <w:rPr>
          <w:lang w:val="fr-CH"/>
        </w:rPr>
        <w:t>Vous trouverez l’infographie en annexe.</w:t>
      </w:r>
    </w:p>
    <w:p w14:paraId="32A261BD" w14:textId="139FF4E2" w:rsidR="000444E4" w:rsidRDefault="000444E4" w:rsidP="000444E4">
      <w:pPr>
        <w:pStyle w:val="Titre2"/>
        <w:rPr>
          <w:lang w:val="fr-CH"/>
        </w:rPr>
      </w:pPr>
      <w:r>
        <w:rPr>
          <w:lang w:val="fr-CH"/>
        </w:rPr>
        <w:t>Télétravail</w:t>
      </w:r>
    </w:p>
    <w:p w14:paraId="0BF4BE8D" w14:textId="77777777" w:rsidR="00B43614" w:rsidRDefault="00313BC9" w:rsidP="000444E4">
      <w:pPr>
        <w:rPr>
          <w:lang w:val="fr-CH"/>
        </w:rPr>
      </w:pPr>
      <w:r>
        <w:rPr>
          <w:lang w:val="fr-CH"/>
        </w:rPr>
        <w:t xml:space="preserve">La situation sanitaire l’a accéléré, mais le phénomène existait déjà avant, celui du travail. Cela entraine </w:t>
      </w:r>
      <w:r w:rsidR="00B43614">
        <w:rPr>
          <w:lang w:val="fr-CH"/>
        </w:rPr>
        <w:t>différents :</w:t>
      </w:r>
    </w:p>
    <w:p w14:paraId="4B55DA65" w14:textId="0C7AF4C6" w:rsidR="00B43614" w:rsidRDefault="00B43614" w:rsidP="00423BDC">
      <w:pPr>
        <w:pStyle w:val="Paragraphedeliste"/>
        <w:numPr>
          <w:ilvl w:val="0"/>
          <w:numId w:val="7"/>
        </w:numPr>
        <w:rPr>
          <w:lang w:val="fr-CH"/>
        </w:rPr>
      </w:pPr>
      <w:r>
        <w:rPr>
          <w:lang w:val="fr-CH"/>
        </w:rPr>
        <w:t>défis (Craine 2021)</w:t>
      </w:r>
      <w:r w:rsidRPr="00B43614">
        <w:rPr>
          <w:lang w:val="fr-CH"/>
        </w:rPr>
        <w:t> :</w:t>
      </w:r>
    </w:p>
    <w:p w14:paraId="09A1F346" w14:textId="77777777" w:rsidR="00B43614" w:rsidRPr="00B43614" w:rsidRDefault="00B43614" w:rsidP="00423BDC">
      <w:pPr>
        <w:pStyle w:val="Paragraphedeliste"/>
        <w:numPr>
          <w:ilvl w:val="1"/>
          <w:numId w:val="7"/>
        </w:numPr>
        <w:rPr>
          <w:lang w:val="fr-CH"/>
        </w:rPr>
      </w:pPr>
      <w:r w:rsidRPr="00B43614">
        <w:rPr>
          <w:lang w:val="fr-CH"/>
        </w:rPr>
        <w:t>Garantir la sécurité des données</w:t>
      </w:r>
    </w:p>
    <w:p w14:paraId="6958E457" w14:textId="24FE75CF" w:rsidR="00B43614" w:rsidRPr="00B43614" w:rsidRDefault="00B43614" w:rsidP="00423BDC">
      <w:pPr>
        <w:pStyle w:val="Paragraphedeliste"/>
        <w:numPr>
          <w:ilvl w:val="1"/>
          <w:numId w:val="7"/>
        </w:numPr>
        <w:rPr>
          <w:lang w:val="fr-CH"/>
        </w:rPr>
      </w:pPr>
      <w:r w:rsidRPr="00B43614">
        <w:rPr>
          <w:lang w:val="fr-CH"/>
        </w:rPr>
        <w:t>Assurer ses obligations de conformité</w:t>
      </w:r>
    </w:p>
    <w:p w14:paraId="7A822C6F" w14:textId="2AC2A0C3" w:rsidR="000444E4" w:rsidRPr="00B43614" w:rsidRDefault="00B43614" w:rsidP="00423BDC">
      <w:pPr>
        <w:pStyle w:val="Paragraphedeliste"/>
        <w:numPr>
          <w:ilvl w:val="0"/>
          <w:numId w:val="6"/>
        </w:numPr>
        <w:rPr>
          <w:lang w:val="fr-CH"/>
        </w:rPr>
      </w:pPr>
      <w:r w:rsidRPr="00B43614">
        <w:rPr>
          <w:lang w:val="fr-CH"/>
        </w:rPr>
        <w:t xml:space="preserve">et </w:t>
      </w:r>
      <w:r w:rsidR="0038227C" w:rsidRPr="00B43614">
        <w:rPr>
          <w:lang w:val="fr-CH"/>
        </w:rPr>
        <w:t>problématiques (Combs 2020) :</w:t>
      </w:r>
    </w:p>
    <w:p w14:paraId="7063566E" w14:textId="77777777" w:rsidR="0038227C" w:rsidRPr="0038227C" w:rsidRDefault="0038227C" w:rsidP="00423BDC">
      <w:pPr>
        <w:pStyle w:val="Paragraphedeliste"/>
        <w:numPr>
          <w:ilvl w:val="1"/>
          <w:numId w:val="7"/>
        </w:numPr>
        <w:rPr>
          <w:lang w:val="fr-CH"/>
        </w:rPr>
      </w:pPr>
      <w:r w:rsidRPr="0038227C">
        <w:rPr>
          <w:lang w:val="fr-CH"/>
        </w:rPr>
        <w:t>Utilisation excessive des fichiers stockés localement</w:t>
      </w:r>
    </w:p>
    <w:p w14:paraId="2DF7BBD0" w14:textId="77777777" w:rsidR="0038227C" w:rsidRPr="0038227C" w:rsidRDefault="0038227C" w:rsidP="00423BDC">
      <w:pPr>
        <w:pStyle w:val="Paragraphedeliste"/>
        <w:numPr>
          <w:ilvl w:val="1"/>
          <w:numId w:val="7"/>
        </w:numPr>
        <w:rPr>
          <w:lang w:val="fr-CH"/>
        </w:rPr>
      </w:pPr>
      <w:r w:rsidRPr="0038227C">
        <w:rPr>
          <w:lang w:val="fr-CH"/>
        </w:rPr>
        <w:t>Partage inapproprié de contenu</w:t>
      </w:r>
    </w:p>
    <w:p w14:paraId="1B4F518D" w14:textId="5BD71C86" w:rsidR="0038227C" w:rsidRPr="0038227C" w:rsidRDefault="0038227C" w:rsidP="00423BDC">
      <w:pPr>
        <w:pStyle w:val="Paragraphedeliste"/>
        <w:numPr>
          <w:ilvl w:val="1"/>
          <w:numId w:val="7"/>
        </w:numPr>
        <w:rPr>
          <w:lang w:val="fr-CH"/>
        </w:rPr>
      </w:pPr>
      <w:r w:rsidRPr="0038227C">
        <w:rPr>
          <w:lang w:val="fr-CH"/>
        </w:rPr>
        <w:t>Raccourcissement des processus de révision et d'approbation importants</w:t>
      </w:r>
    </w:p>
    <w:p w14:paraId="666E1A38" w14:textId="77777777" w:rsidR="0038227C" w:rsidRDefault="0038227C" w:rsidP="0038227C">
      <w:pPr>
        <w:rPr>
          <w:lang w:val="fr-CH"/>
        </w:rPr>
      </w:pPr>
    </w:p>
    <w:p w14:paraId="6D0ECDBE" w14:textId="2372886E" w:rsidR="00F0362B" w:rsidRDefault="00B43614" w:rsidP="00F0362B">
      <w:pPr>
        <w:rPr>
          <w:lang w:val="fr-CH"/>
        </w:rPr>
      </w:pPr>
      <w:r>
        <w:rPr>
          <w:lang w:val="fr-CH"/>
        </w:rPr>
        <w:t>Cullen (2021) liste plusieurs r</w:t>
      </w:r>
      <w:r w:rsidR="00F0362B">
        <w:rPr>
          <w:lang w:val="fr-CH"/>
        </w:rPr>
        <w:t>ecommandations pour opérationnaliser la sécurité au service de la productivité et de la gouvernance :</w:t>
      </w:r>
    </w:p>
    <w:p w14:paraId="53F7DC99" w14:textId="6A056C0B" w:rsidR="00F0362B" w:rsidRPr="00B43614" w:rsidRDefault="00F0362B" w:rsidP="00423BDC">
      <w:pPr>
        <w:pStyle w:val="Paragraphedeliste"/>
        <w:numPr>
          <w:ilvl w:val="0"/>
          <w:numId w:val="6"/>
        </w:numPr>
        <w:rPr>
          <w:lang w:val="fr-CH"/>
        </w:rPr>
      </w:pPr>
      <w:r w:rsidRPr="00B43614">
        <w:rPr>
          <w:lang w:val="fr-CH"/>
        </w:rPr>
        <w:t>Inventorier ses données</w:t>
      </w:r>
    </w:p>
    <w:p w14:paraId="66D6B658" w14:textId="77777777" w:rsidR="00F0362B" w:rsidRPr="00B43614" w:rsidRDefault="00F0362B" w:rsidP="00423BDC">
      <w:pPr>
        <w:pStyle w:val="Paragraphedeliste"/>
        <w:numPr>
          <w:ilvl w:val="0"/>
          <w:numId w:val="6"/>
        </w:numPr>
        <w:rPr>
          <w:lang w:val="fr-CH"/>
        </w:rPr>
      </w:pPr>
      <w:r w:rsidRPr="00B43614">
        <w:rPr>
          <w:lang w:val="fr-CH"/>
        </w:rPr>
        <w:t>Arrêter le marquage par l'utilisateur final</w:t>
      </w:r>
    </w:p>
    <w:p w14:paraId="561E2E53" w14:textId="77777777" w:rsidR="00F0362B" w:rsidRPr="00B43614" w:rsidRDefault="00F0362B" w:rsidP="00423BDC">
      <w:pPr>
        <w:pStyle w:val="Paragraphedeliste"/>
        <w:numPr>
          <w:ilvl w:val="0"/>
          <w:numId w:val="6"/>
        </w:numPr>
        <w:rPr>
          <w:lang w:val="fr-CH"/>
        </w:rPr>
      </w:pPr>
      <w:r w:rsidRPr="00B43614">
        <w:rPr>
          <w:lang w:val="fr-CH"/>
        </w:rPr>
        <w:t>Laisser les anciens serveurs derrière vous</w:t>
      </w:r>
    </w:p>
    <w:p w14:paraId="5EE4169E" w14:textId="77777777" w:rsidR="00F0362B" w:rsidRPr="00B43614" w:rsidRDefault="00F0362B" w:rsidP="00423BDC">
      <w:pPr>
        <w:pStyle w:val="Paragraphedeliste"/>
        <w:numPr>
          <w:ilvl w:val="0"/>
          <w:numId w:val="6"/>
        </w:numPr>
        <w:rPr>
          <w:lang w:val="fr-CH"/>
        </w:rPr>
      </w:pPr>
      <w:r w:rsidRPr="00B43614">
        <w:rPr>
          <w:lang w:val="fr-CH"/>
        </w:rPr>
        <w:t>Permettre un partage contrôlé</w:t>
      </w:r>
    </w:p>
    <w:p w14:paraId="4B74E0D9" w14:textId="6F449DE3" w:rsidR="00F0362B" w:rsidRPr="00B43614" w:rsidRDefault="00F0362B" w:rsidP="00423BDC">
      <w:pPr>
        <w:pStyle w:val="Paragraphedeliste"/>
        <w:numPr>
          <w:ilvl w:val="0"/>
          <w:numId w:val="6"/>
        </w:numPr>
        <w:rPr>
          <w:lang w:val="fr-CH"/>
        </w:rPr>
      </w:pPr>
      <w:r w:rsidRPr="00B43614">
        <w:rPr>
          <w:lang w:val="fr-CH"/>
        </w:rPr>
        <w:t>Évaluer la gouvernance</w:t>
      </w:r>
    </w:p>
    <w:p w14:paraId="14D4E942" w14:textId="1BEA76FB" w:rsidR="00AE6D0C" w:rsidRDefault="00AE6D0C" w:rsidP="002D22A1">
      <w:pPr>
        <w:pStyle w:val="Titre1"/>
        <w:keepNext/>
        <w:rPr>
          <w:lang w:val="fr-CH"/>
        </w:rPr>
      </w:pPr>
      <w:r w:rsidRPr="00DD2E29">
        <w:rPr>
          <w:lang w:val="fr-CH"/>
        </w:rPr>
        <w:t>Bibliographie</w:t>
      </w:r>
    </w:p>
    <w:p w14:paraId="62013139" w14:textId="77777777" w:rsidR="0060056F" w:rsidRPr="00935EC6" w:rsidRDefault="0060056F" w:rsidP="0060056F">
      <w:pPr>
        <w:rPr>
          <w:lang w:val="fr-CH"/>
        </w:rPr>
      </w:pPr>
      <w:r w:rsidRPr="006D7B20">
        <w:rPr>
          <w:lang w:val="en-CA"/>
        </w:rPr>
        <w:t xml:space="preserve">ADESEMOWO, Adeniji K., VON SOLMS, Rossouw &amp; BOTHA, Reinhard A., 2016. Safeguarding information as an asset: Do we need a redefinition in the knowledge economy and beyond?. </w:t>
      </w:r>
      <w:r w:rsidRPr="00935EC6">
        <w:rPr>
          <w:i/>
          <w:lang w:val="fr-CH"/>
        </w:rPr>
        <w:t>South African Journal of Information Management</w:t>
      </w:r>
      <w:r w:rsidRPr="00935EC6">
        <w:rPr>
          <w:lang w:val="fr-CH"/>
        </w:rPr>
        <w:t xml:space="preserve"> [en ligne]. Vol. 18, n° 1. [Consulté le 14 octobre 2021]. Disponible à l’adresse : </w:t>
      </w:r>
      <w:hyperlink r:id="rId27" w:history="1">
        <w:r w:rsidRPr="00935EC6">
          <w:rPr>
            <w:rStyle w:val="Lienhypertexte"/>
            <w:lang w:val="fr-CH"/>
          </w:rPr>
          <w:t>http://dx.doi.org/10.4102/sajim.v18i1.706</w:t>
        </w:r>
      </w:hyperlink>
    </w:p>
    <w:p w14:paraId="62CA4926" w14:textId="77777777" w:rsidR="0060056F" w:rsidRPr="00042E66" w:rsidRDefault="0060056F" w:rsidP="0060056F">
      <w:pPr>
        <w:pStyle w:val="Bibliographie1"/>
        <w:rPr>
          <w:lang w:val="en-CA"/>
        </w:rPr>
      </w:pPr>
      <w:r w:rsidRPr="00935EC6">
        <w:t xml:space="preserve">ARMA INTERNATIONAL, 2012. </w:t>
      </w:r>
      <w:r w:rsidRPr="006D7B20">
        <w:rPr>
          <w:i/>
          <w:lang w:val="en-CA"/>
        </w:rPr>
        <w:t>Glossary of records and information management terms</w:t>
      </w:r>
      <w:r w:rsidRPr="006D7B20">
        <w:rPr>
          <w:lang w:val="en-CA"/>
        </w:rPr>
        <w:t xml:space="preserve">. </w:t>
      </w:r>
      <w:r w:rsidRPr="00042E66">
        <w:rPr>
          <w:lang w:val="en-CA"/>
        </w:rPr>
        <w:t>Overland Park, KS, ARMA International</w:t>
      </w:r>
    </w:p>
    <w:p w14:paraId="49F5ECEA" w14:textId="77777777" w:rsidR="006B04EA" w:rsidRDefault="006B04EA" w:rsidP="006B04EA">
      <w:pPr>
        <w:pStyle w:val="Bibliographie1"/>
        <w:keepLines/>
      </w:pPr>
      <w:r w:rsidRPr="00042E66">
        <w:rPr>
          <w:lang w:val="en-CA"/>
        </w:rPr>
        <w:t xml:space="preserve">ASSOCIATION FOR INTELLIGENT INFORMATION MANAGEMENT (AIIM), 2019. </w:t>
      </w:r>
      <w:r w:rsidRPr="00934C76">
        <w:rPr>
          <w:i/>
          <w:lang w:val="en-US"/>
        </w:rPr>
        <w:t>10 Things You Need to Know About Automating Information Governance</w:t>
      </w:r>
      <w:r w:rsidRPr="00C054DB">
        <w:rPr>
          <w:lang w:val="en-US"/>
        </w:rPr>
        <w:t xml:space="preserve"> [en ligne]. </w:t>
      </w:r>
      <w:r>
        <w:t>[Consulté le 24</w:t>
      </w:r>
      <w:r w:rsidRPr="00C054DB">
        <w:t xml:space="preserve"> novembre 20</w:t>
      </w:r>
      <w:r>
        <w:t>21</w:t>
      </w:r>
      <w:r w:rsidRPr="00C054DB">
        <w:t>] Disponible à l'adresse</w:t>
      </w:r>
      <w:r>
        <w:t> </w:t>
      </w:r>
      <w:r w:rsidRPr="00C054DB">
        <w:t xml:space="preserve">: </w:t>
      </w:r>
      <w:hyperlink r:id="rId28" w:history="1">
        <w:r w:rsidRPr="00835C79">
          <w:rPr>
            <w:rStyle w:val="Lienhypertexte"/>
          </w:rPr>
          <w:t>https://info.aiim.org/10-things-you-need-to-know-about-automating-information-governance</w:t>
        </w:r>
      </w:hyperlink>
    </w:p>
    <w:p w14:paraId="0B7B83F1" w14:textId="77777777" w:rsidR="00796FA4" w:rsidRPr="00495697" w:rsidRDefault="00796FA4" w:rsidP="00796FA4">
      <w:pPr>
        <w:pStyle w:val="Bibliographie1"/>
      </w:pPr>
      <w:r w:rsidRPr="008044D1">
        <w:lastRenderedPageBreak/>
        <w:t xml:space="preserve">BERGERY, Line, 2011. </w:t>
      </w:r>
      <w:r w:rsidRPr="008044D1">
        <w:rPr>
          <w:i/>
        </w:rPr>
        <w:t>Le management par les valeurs</w:t>
      </w:r>
      <w:r w:rsidRPr="008044D1">
        <w:t xml:space="preserve">. Paris: Hermès science publications - </w:t>
      </w:r>
      <w:r w:rsidRPr="00495697">
        <w:t>Lavoisier.</w:t>
      </w:r>
    </w:p>
    <w:p w14:paraId="1C816482" w14:textId="77777777" w:rsidR="00796FA4" w:rsidRPr="00495697" w:rsidRDefault="00796FA4" w:rsidP="00796FA4">
      <w:pPr>
        <w:pStyle w:val="Bibliographie1"/>
      </w:pPr>
      <w:r w:rsidRPr="00495697">
        <w:rPr>
          <w:lang w:val="en-US"/>
        </w:rPr>
        <w:t xml:space="preserve">CLEMENT, J., 2021. Annual number of data breaches and exposed records in the United States from 2005 to 2020 (in millions). </w:t>
      </w:r>
      <w:r w:rsidRPr="00495697">
        <w:rPr>
          <w:i/>
        </w:rPr>
        <w:t>Statista</w:t>
      </w:r>
      <w:r w:rsidRPr="00495697">
        <w:t xml:space="preserve"> [en ligne]. 3 mars 2021. [Consulté le 18 octobre 2021]. Disponible à l'adresse : </w:t>
      </w:r>
      <w:hyperlink r:id="rId29" w:history="1">
        <w:r w:rsidRPr="00495697">
          <w:rPr>
            <w:rStyle w:val="Lienhypertexte"/>
          </w:rPr>
          <w:t>https://www.statista.com/statistics/273550/data-breaches-recorded-in-the-united-states-by-number-of-breaches-and-records-exposed/</w:t>
        </w:r>
      </w:hyperlink>
    </w:p>
    <w:p w14:paraId="2AF98C4B" w14:textId="77777777" w:rsidR="00796FA4" w:rsidRDefault="00796FA4" w:rsidP="00796FA4">
      <w:pPr>
        <w:pStyle w:val="Bibliographie1"/>
      </w:pPr>
      <w:r w:rsidRPr="00495697">
        <w:rPr>
          <w:caps/>
        </w:rPr>
        <w:t>Club informatique</w:t>
      </w:r>
      <w:r w:rsidRPr="000C2EA9">
        <w:rPr>
          <w:caps/>
        </w:rPr>
        <w:t xml:space="preserve"> des grandes entreprises françaises</w:t>
      </w:r>
      <w:r>
        <w:t xml:space="preserve"> (</w:t>
      </w:r>
      <w:r w:rsidRPr="000C2EA9">
        <w:t>CIGREF</w:t>
      </w:r>
      <w:r>
        <w:t>)</w:t>
      </w:r>
      <w:r w:rsidRPr="000C2EA9">
        <w:t>, 2000. Gérer les connaissances: Défis, enjeux et conduite de projet [en ligne]. Octobre 2000.</w:t>
      </w:r>
      <w:r>
        <w:t xml:space="preserve"> [Consulté le 28 septembre 2021]. Disponible à l’adresse : </w:t>
      </w:r>
      <w:hyperlink r:id="rId30" w:history="1">
        <w:r w:rsidRPr="004E0746">
          <w:rPr>
            <w:rStyle w:val="Lienhypertexte"/>
          </w:rPr>
          <w:t>http://www.cigref.fr/cigref_publications/RapportsContainer/Parus2000/2000_-_Gerer_les_connaissances.pdf</w:t>
        </w:r>
      </w:hyperlink>
    </w:p>
    <w:p w14:paraId="5954A6D0" w14:textId="77777777" w:rsidR="006B04EA" w:rsidRPr="006D7B20" w:rsidRDefault="006B04EA" w:rsidP="006B04EA">
      <w:pPr>
        <w:pStyle w:val="Bibliographie1"/>
        <w:keepLines/>
      </w:pPr>
      <w:r w:rsidRPr="00EF3CB2">
        <w:rPr>
          <w:lang w:val="en-US"/>
        </w:rPr>
        <w:t xml:space="preserve">COMBS, Tara, 2020. Remote Working: The Information Governance Challenge of the Decade. </w:t>
      </w:r>
      <w:r w:rsidRPr="006D7B20">
        <w:rPr>
          <w:i/>
        </w:rPr>
        <w:t>GRC World Forums</w:t>
      </w:r>
      <w:r w:rsidRPr="006D7B20">
        <w:t xml:space="preserve"> [en ligne]. 14 mai 2020. [Consulté le 24 novembre 2021]. Disponible à l'adresse : </w:t>
      </w:r>
      <w:hyperlink r:id="rId31" w:history="1">
        <w:r w:rsidRPr="006D7B20">
          <w:rPr>
            <w:rStyle w:val="Lienhypertexte"/>
          </w:rPr>
          <w:t>https://www.grcworldforums.com/governance/remote-working-the-information-governance-challenge-of-the-decade/416.article</w:t>
        </w:r>
      </w:hyperlink>
    </w:p>
    <w:p w14:paraId="1F906CF4" w14:textId="77777777" w:rsidR="006B04EA" w:rsidRPr="006D7B20" w:rsidRDefault="006B04EA" w:rsidP="006B04EA">
      <w:pPr>
        <w:pStyle w:val="Bibliographie1"/>
        <w:keepLines/>
      </w:pPr>
      <w:r w:rsidRPr="000444E4">
        <w:rPr>
          <w:lang w:val="en-US"/>
        </w:rPr>
        <w:t xml:space="preserve">CRAINE, Kevin, 2021. Remote Work and Information Governance. </w:t>
      </w:r>
      <w:r w:rsidRPr="006D7B20">
        <w:rPr>
          <w:i/>
        </w:rPr>
        <w:t>Workflow</w:t>
      </w:r>
      <w:r w:rsidRPr="006D7B20">
        <w:t xml:space="preserve"> [en ligne]. 13 septembre 2021. [Consulté le 23 novembre 2021]. Disponible à l'adresse : </w:t>
      </w:r>
      <w:hyperlink r:id="rId32" w:history="1">
        <w:r w:rsidRPr="006D7B20">
          <w:rPr>
            <w:rStyle w:val="Lienhypertexte"/>
          </w:rPr>
          <w:t>https://www.workflowotg.com/remote-work-and-information-governance/</w:t>
        </w:r>
      </w:hyperlink>
    </w:p>
    <w:p w14:paraId="02B09BFE" w14:textId="77777777" w:rsidR="006B04EA" w:rsidRPr="006D7B20" w:rsidRDefault="006B04EA" w:rsidP="006B04EA">
      <w:pPr>
        <w:pStyle w:val="Bibliographie1"/>
        <w:keepLines/>
      </w:pPr>
      <w:r w:rsidRPr="0002651B">
        <w:rPr>
          <w:lang w:val="en-US"/>
        </w:rPr>
        <w:t xml:space="preserve">CULLEN, Ann Marie, 2021. Work Remotely Without Compromising Your Data. </w:t>
      </w:r>
      <w:r w:rsidRPr="006D7B20">
        <w:rPr>
          <w:i/>
        </w:rPr>
        <w:t>AIIM Blog</w:t>
      </w:r>
      <w:r w:rsidRPr="006D7B20">
        <w:t xml:space="preserve"> [en ligne]. 7 janvier 2021. [Consulté le 23 novembre 2021]. Disponible à l'adresse : </w:t>
      </w:r>
      <w:hyperlink r:id="rId33" w:history="1">
        <w:r w:rsidRPr="006D7B20">
          <w:rPr>
            <w:rStyle w:val="Lienhypertexte"/>
          </w:rPr>
          <w:t>https://info.aiim.org/aiim-blog/tips-for-working-remotely-information-governance</w:t>
        </w:r>
      </w:hyperlink>
    </w:p>
    <w:p w14:paraId="4C5D2076" w14:textId="77777777" w:rsidR="006B04EA" w:rsidRDefault="006B04EA" w:rsidP="006B04EA">
      <w:pPr>
        <w:pStyle w:val="Bibliographie1"/>
        <w:keepLines/>
      </w:pPr>
      <w:r w:rsidRPr="00F67576">
        <w:t xml:space="preserve">DAWSON, Pat, 2019. Information Governance Innovations in 2019. </w:t>
      </w:r>
      <w:r w:rsidRPr="00F67576">
        <w:rPr>
          <w:i/>
        </w:rPr>
        <w:t>Everteam</w:t>
      </w:r>
      <w:r w:rsidRPr="00F67576">
        <w:t xml:space="preserve"> [en ligne]. 22 janvier 2019. [Consulté le 2</w:t>
      </w:r>
      <w:r>
        <w:t>4</w:t>
      </w:r>
      <w:r w:rsidRPr="00F67576">
        <w:t xml:space="preserve"> novembre 20</w:t>
      </w:r>
      <w:r>
        <w:t>21</w:t>
      </w:r>
      <w:r w:rsidRPr="00F67576">
        <w:t>]. Disponible à l'adresse</w:t>
      </w:r>
      <w:r>
        <w:t> </w:t>
      </w:r>
      <w:r w:rsidRPr="00F67576">
        <w:t xml:space="preserve">: </w:t>
      </w:r>
      <w:hyperlink r:id="rId34" w:history="1">
        <w:r w:rsidRPr="00835C79">
          <w:rPr>
            <w:rStyle w:val="Lienhypertexte"/>
          </w:rPr>
          <w:t>https://www.everteam.com/en/information-governance-innovations-in-2019/</w:t>
        </w:r>
      </w:hyperlink>
    </w:p>
    <w:p w14:paraId="2BB329C2" w14:textId="77777777" w:rsidR="006B04EA" w:rsidRDefault="006B04EA" w:rsidP="006B04EA">
      <w:pPr>
        <w:pStyle w:val="Bibliographie1"/>
        <w:keepLines/>
      </w:pPr>
      <w:r w:rsidRPr="00B716C2">
        <w:rPr>
          <w:lang w:val="en-US"/>
        </w:rPr>
        <w:t>DAYLEY, Alan, TIRSU, Julian, DE SIMONI, Guido, LANDERS, Garth, MEUNIER, Marc-Antoine</w:t>
      </w:r>
      <w:r w:rsidRPr="00E81080">
        <w:rPr>
          <w:lang w:val="en-US"/>
        </w:rPr>
        <w:t>, 20</w:t>
      </w:r>
      <w:r>
        <w:rPr>
          <w:lang w:val="en-US"/>
        </w:rPr>
        <w:t>1</w:t>
      </w:r>
      <w:r w:rsidRPr="00E81080">
        <w:rPr>
          <w:lang w:val="en-US"/>
        </w:rPr>
        <w:t xml:space="preserve">8. </w:t>
      </w:r>
      <w:r w:rsidRPr="00B716C2">
        <w:rPr>
          <w:lang w:val="en-US"/>
        </w:rPr>
        <w:t>Market Guide for File Analysis Software</w:t>
      </w:r>
      <w:r w:rsidRPr="00E81080">
        <w:rPr>
          <w:lang w:val="en-US"/>
        </w:rPr>
        <w:t xml:space="preserve">. </w:t>
      </w:r>
      <w:r w:rsidRPr="009C68D6">
        <w:rPr>
          <w:i/>
        </w:rPr>
        <w:t>Gartner Research Publication</w:t>
      </w:r>
      <w:r w:rsidRPr="009C68D6">
        <w:t xml:space="preserve"> [en ligne]. </w:t>
      </w:r>
      <w:r w:rsidRPr="00E81080">
        <w:t xml:space="preserve">ID: </w:t>
      </w:r>
      <w:r w:rsidRPr="00B716C2">
        <w:t>G00317005</w:t>
      </w:r>
      <w:r w:rsidRPr="00E81080">
        <w:t>.</w:t>
      </w:r>
      <w:r>
        <w:t xml:space="preserve"> 27 mars 2018.</w:t>
      </w:r>
      <w:r w:rsidRPr="00E81080">
        <w:t xml:space="preserve"> </w:t>
      </w:r>
      <w:r w:rsidRPr="009C68D6">
        <w:t xml:space="preserve">[Consulté le </w:t>
      </w:r>
      <w:r>
        <w:t>24</w:t>
      </w:r>
      <w:r w:rsidRPr="009C68D6">
        <w:t xml:space="preserve"> </w:t>
      </w:r>
      <w:r>
        <w:t>novembre</w:t>
      </w:r>
      <w:r w:rsidRPr="009C68D6">
        <w:t xml:space="preserve"> </w:t>
      </w:r>
      <w:r>
        <w:t xml:space="preserve">2021]. Disponible à l'adresse : </w:t>
      </w:r>
      <w:hyperlink r:id="rId35" w:history="1">
        <w:r w:rsidRPr="00CA6A8E">
          <w:rPr>
            <w:rStyle w:val="Lienhypertexte"/>
          </w:rPr>
          <w:t>https://www.gartner.com/en/documents/3869701</w:t>
        </w:r>
      </w:hyperlink>
    </w:p>
    <w:p w14:paraId="4287F482" w14:textId="77777777" w:rsidR="00796FA4" w:rsidRDefault="00796FA4" w:rsidP="00796FA4">
      <w:pPr>
        <w:pStyle w:val="Bibliographie1"/>
      </w:pPr>
      <w:r w:rsidRPr="00570791">
        <w:t xml:space="preserve">FERREBOEUF, Hugues (dir.), 2018. </w:t>
      </w:r>
      <w:r w:rsidRPr="00C80081">
        <w:rPr>
          <w:i/>
        </w:rPr>
        <w:t>Lean ICT - Pour une sobriété numérique</w:t>
      </w:r>
      <w:r w:rsidRPr="00570791">
        <w:t xml:space="preserve"> [en ligne]. The Shift Project, octobre 2018. [Consulté le 2</w:t>
      </w:r>
      <w:r>
        <w:t>8</w:t>
      </w:r>
      <w:r w:rsidRPr="00570791">
        <w:t xml:space="preserve"> septembre 20</w:t>
      </w:r>
      <w:r>
        <w:t>21</w:t>
      </w:r>
      <w:r w:rsidRPr="00570791">
        <w:t xml:space="preserve">]. Disponible à l'adresse: </w:t>
      </w:r>
      <w:hyperlink r:id="rId36" w:history="1">
        <w:r w:rsidRPr="00D8089F">
          <w:rPr>
            <w:rStyle w:val="Lienhypertexte"/>
          </w:rPr>
          <w:t>https://theshiftproject.org/wp-content/uploads/2018/11/Rapport-final-v8-WEB.pdf</w:t>
        </w:r>
      </w:hyperlink>
    </w:p>
    <w:p w14:paraId="74BC0234" w14:textId="77777777" w:rsidR="00796FA4" w:rsidRDefault="00796FA4" w:rsidP="00796FA4">
      <w:pPr>
        <w:pStyle w:val="Bibliographie1"/>
      </w:pPr>
      <w:r w:rsidRPr="00FF6DA6">
        <w:t xml:space="preserve">FOUCAULT-DUMAS, Charles, 2019. Comment Justitia 4.0 compte dématérialiser la justice suisse. </w:t>
      </w:r>
      <w:r w:rsidRPr="00FF6DA6">
        <w:rPr>
          <w:i/>
        </w:rPr>
        <w:t>ICT Journal</w:t>
      </w:r>
      <w:r w:rsidRPr="00FF6DA6">
        <w:t xml:space="preserve"> [en ligne]. 15 février 2019. [Consulté le </w:t>
      </w:r>
      <w:r>
        <w:t>28</w:t>
      </w:r>
      <w:r w:rsidRPr="00FF6DA6">
        <w:t xml:space="preserve"> septembre 20</w:t>
      </w:r>
      <w:r>
        <w:t>21</w:t>
      </w:r>
      <w:r w:rsidRPr="00FF6DA6">
        <w:t>]. Disponible à l'adresse</w:t>
      </w:r>
      <w:r>
        <w:t> </w:t>
      </w:r>
      <w:r w:rsidRPr="00FF6DA6">
        <w:t xml:space="preserve">: </w:t>
      </w:r>
      <w:hyperlink r:id="rId37" w:history="1">
        <w:r w:rsidRPr="004752B9">
          <w:rPr>
            <w:rStyle w:val="Lienhypertexte"/>
          </w:rPr>
          <w:t>https://www.ictjournal.ch/news/2019-02-15/comment-justitia-40-compte-dematerialiser-la-justice-suisse</w:t>
        </w:r>
      </w:hyperlink>
    </w:p>
    <w:p w14:paraId="25F98DF8" w14:textId="77777777" w:rsidR="006B04EA" w:rsidRPr="0060056F" w:rsidRDefault="006B04EA" w:rsidP="006B04EA">
      <w:pPr>
        <w:pStyle w:val="Bibliographie1"/>
        <w:rPr>
          <w:lang w:val="fr-FR"/>
        </w:rPr>
      </w:pPr>
      <w:r w:rsidRPr="0060056F">
        <w:t xml:space="preserve">FROST, Robert B. et CHOO, Chun Wei, 2017. </w:t>
      </w:r>
      <w:r w:rsidRPr="006D7B20">
        <w:rPr>
          <w:lang w:val="en-CA"/>
        </w:rPr>
        <w:t xml:space="preserve">Revisiting the information audit: A systematic literature review and synthesis. </w:t>
      </w:r>
      <w:r w:rsidRPr="0060056F">
        <w:rPr>
          <w:i/>
          <w:iCs/>
        </w:rPr>
        <w:t>International Journal of Information Management</w:t>
      </w:r>
      <w:r w:rsidRPr="0060056F">
        <w:t xml:space="preserve"> [en ligne]. Février 2017. Vol. 37, n° 1, pp. 1380</w:t>
      </w:r>
      <w:r w:rsidRPr="0060056F">
        <w:noBreakHyphen/>
        <w:t xml:space="preserve">1390. </w:t>
      </w:r>
      <w:r w:rsidRPr="0060056F">
        <w:rPr>
          <w:lang w:val="fr-FR"/>
        </w:rPr>
        <w:t>[Consulté le 1</w:t>
      </w:r>
      <w:r w:rsidRPr="0060056F">
        <w:rPr>
          <w:vertAlign w:val="superscript"/>
          <w:lang w:val="fr-FR"/>
        </w:rPr>
        <w:t>er</w:t>
      </w:r>
      <w:r w:rsidRPr="0060056F">
        <w:rPr>
          <w:lang w:val="fr-FR"/>
        </w:rPr>
        <w:t xml:space="preserve"> octobre 2021]. Disponible à l’adresse : </w:t>
      </w:r>
      <w:hyperlink r:id="rId38" w:history="1">
        <w:r w:rsidRPr="0060056F">
          <w:rPr>
            <w:rStyle w:val="Lienhypertexte"/>
            <w:lang w:val="fr-FR"/>
          </w:rPr>
          <w:t>https://doi.org/10.1016/j.ijinfomgt.2016.10.001</w:t>
        </w:r>
      </w:hyperlink>
    </w:p>
    <w:p w14:paraId="3F2F9DB2" w14:textId="77777777" w:rsidR="006B04EA" w:rsidRDefault="006B04EA" w:rsidP="006B04EA">
      <w:pPr>
        <w:pStyle w:val="Bibliographie1"/>
      </w:pPr>
      <w:r w:rsidRPr="00DC72E3">
        <w:t>GAUDIAUT, Tristan</w:t>
      </w:r>
      <w:r>
        <w:t>, 2021</w:t>
      </w:r>
      <w:r w:rsidRPr="00701C92">
        <w:t xml:space="preserve">. Le Bitcoin dévore plus d'électricité que la Suisse. </w:t>
      </w:r>
      <w:r w:rsidRPr="00701C92">
        <w:rPr>
          <w:i/>
        </w:rPr>
        <w:t>Statista</w:t>
      </w:r>
      <w:r w:rsidRPr="00701C92">
        <w:t xml:space="preserve"> [en ligne]. </w:t>
      </w:r>
      <w:r>
        <w:t>5</w:t>
      </w:r>
      <w:r w:rsidRPr="00701C92">
        <w:t xml:space="preserve"> </w:t>
      </w:r>
      <w:r>
        <w:t>mai</w:t>
      </w:r>
      <w:r w:rsidRPr="00701C92">
        <w:t xml:space="preserve"> 20</w:t>
      </w:r>
      <w:r>
        <w:t>21</w:t>
      </w:r>
      <w:r w:rsidRPr="00701C92">
        <w:t>. [Consulté le 2</w:t>
      </w:r>
      <w:r>
        <w:t>8 septembre 2021</w:t>
      </w:r>
      <w:r w:rsidRPr="00701C92">
        <w:t>]. Disponible à l'adresse</w:t>
      </w:r>
      <w:r>
        <w:t> </w:t>
      </w:r>
      <w:r w:rsidRPr="00701C92">
        <w:t xml:space="preserve">: </w:t>
      </w:r>
      <w:hyperlink r:id="rId39" w:history="1">
        <w:r w:rsidRPr="00C42141">
          <w:rPr>
            <w:rStyle w:val="Lienhypertexte"/>
          </w:rPr>
          <w:t>https://fr.statista.com/infographie/18624/comparaison-consommation-energetique-electricite-bitcoin-et-pays/</w:t>
        </w:r>
      </w:hyperlink>
    </w:p>
    <w:p w14:paraId="20C18BE9" w14:textId="77777777" w:rsidR="006B04EA" w:rsidRDefault="006B04EA" w:rsidP="006B04EA">
      <w:pPr>
        <w:pStyle w:val="Bibliographie1"/>
      </w:pPr>
      <w:r w:rsidRPr="005961DA">
        <w:lastRenderedPageBreak/>
        <w:t>GOUVERNEMENT FRANÇAIS, 20</w:t>
      </w:r>
      <w:r>
        <w:t>21</w:t>
      </w:r>
      <w:r w:rsidRPr="005961DA">
        <w:t>. Action Publique 2022</w:t>
      </w:r>
      <w:r>
        <w:t> </w:t>
      </w:r>
      <w:r w:rsidRPr="005961DA">
        <w:t xml:space="preserve">: pour une transformation du service public. </w:t>
      </w:r>
      <w:r w:rsidRPr="006E12E5">
        <w:rPr>
          <w:i/>
        </w:rPr>
        <w:t>Gouvernement.fr</w:t>
      </w:r>
      <w:r w:rsidRPr="005961DA">
        <w:t xml:space="preserve"> [en ligne]. 30 octobre 2018</w:t>
      </w:r>
      <w:r>
        <w:t xml:space="preserve">. </w:t>
      </w:r>
      <w:r w:rsidRPr="001078AA">
        <w:t>Mis à jour le 21 juin 2021</w:t>
      </w:r>
      <w:r w:rsidRPr="005961DA">
        <w:t xml:space="preserve">. [Consulté le </w:t>
      </w:r>
      <w:r>
        <w:t>28</w:t>
      </w:r>
      <w:r w:rsidRPr="005961DA">
        <w:t xml:space="preserve"> septembre 20</w:t>
      </w:r>
      <w:r>
        <w:t>21</w:t>
      </w:r>
      <w:r w:rsidRPr="005961DA">
        <w:t>]. Disponible à l'adresse</w:t>
      </w:r>
      <w:r>
        <w:t> </w:t>
      </w:r>
      <w:r w:rsidRPr="005961DA">
        <w:t xml:space="preserve">: </w:t>
      </w:r>
      <w:hyperlink r:id="rId40" w:history="1">
        <w:r w:rsidRPr="004752B9">
          <w:rPr>
            <w:rStyle w:val="Lienhypertexte"/>
          </w:rPr>
          <w:t>https://www.gouvernement.fr/action/action-publique-2022-pour-une-transformation-du-service-public</w:t>
        </w:r>
      </w:hyperlink>
    </w:p>
    <w:p w14:paraId="71C81FA2" w14:textId="77777777" w:rsidR="006B04EA" w:rsidRPr="0060056F" w:rsidRDefault="006B04EA" w:rsidP="006B04EA">
      <w:pPr>
        <w:pStyle w:val="Bibliographie1"/>
        <w:rPr>
          <w:lang w:val="fr-FR"/>
        </w:rPr>
      </w:pPr>
      <w:r w:rsidRPr="006D7B20">
        <w:rPr>
          <w:lang w:val="en-CA"/>
        </w:rPr>
        <w:t xml:space="preserve">GRIFFITHS, Peter, 2012. Information Audit: Towards common standards and methodology. </w:t>
      </w:r>
      <w:r w:rsidRPr="0060056F">
        <w:rPr>
          <w:i/>
          <w:iCs/>
        </w:rPr>
        <w:t>Business Information Review</w:t>
      </w:r>
      <w:r w:rsidRPr="0060056F">
        <w:t xml:space="preserve"> [en ligne]. Mars 2012. Vol. 29, n° 1, pp. 39</w:t>
      </w:r>
      <w:r w:rsidRPr="0060056F">
        <w:noBreakHyphen/>
        <w:t xml:space="preserve">51. </w:t>
      </w:r>
      <w:r w:rsidRPr="0060056F">
        <w:rPr>
          <w:lang w:val="fr-FR"/>
        </w:rPr>
        <w:t>[Consulté le 1</w:t>
      </w:r>
      <w:r w:rsidRPr="0060056F">
        <w:rPr>
          <w:vertAlign w:val="superscript"/>
          <w:lang w:val="fr-FR"/>
        </w:rPr>
        <w:t>er</w:t>
      </w:r>
      <w:r w:rsidRPr="0060056F">
        <w:rPr>
          <w:lang w:val="fr-FR"/>
        </w:rPr>
        <w:t xml:space="preserve"> octobre 2021]. Disponible à l’adresse : </w:t>
      </w:r>
      <w:hyperlink r:id="rId41" w:history="1">
        <w:r w:rsidRPr="0060056F">
          <w:rPr>
            <w:rStyle w:val="Lienhypertexte"/>
            <w:lang w:val="fr-FR"/>
          </w:rPr>
          <w:t>https://doi.org/10.1177/0266382112436791</w:t>
        </w:r>
      </w:hyperlink>
    </w:p>
    <w:p w14:paraId="25728110" w14:textId="77777777" w:rsidR="006B04EA" w:rsidRPr="0060056F" w:rsidRDefault="006B04EA" w:rsidP="006B04EA">
      <w:pPr>
        <w:pStyle w:val="Bibliographie1"/>
      </w:pPr>
      <w:r w:rsidRPr="0060056F">
        <w:t xml:space="preserve">HENCZEL, Sue et ROBERTSON, Graham, 2015. Demystifying the Information Audit. </w:t>
      </w:r>
      <w:r w:rsidRPr="0060056F">
        <w:rPr>
          <w:i/>
        </w:rPr>
        <w:t>SLA 2015 Boston</w:t>
      </w:r>
      <w:r w:rsidRPr="0060056F">
        <w:t xml:space="preserve"> [en ligne]. 16 juin 2015. [Consulté le 5 octobre 2021]. Disponible à l'adresse : </w:t>
      </w:r>
      <w:hyperlink r:id="rId42" w:history="1">
        <w:r w:rsidRPr="0060056F">
          <w:rPr>
            <w:rStyle w:val="Lienhypertexte"/>
          </w:rPr>
          <w:t>https://www.sla.org/wp-content/uploads/2015/06/1650_Demystifying-the-Information-AuditHenczel.pdf</w:t>
        </w:r>
      </w:hyperlink>
    </w:p>
    <w:p w14:paraId="6C6939FD" w14:textId="77777777" w:rsidR="006B04EA" w:rsidRDefault="006B04EA" w:rsidP="006B04EA">
      <w:pPr>
        <w:pStyle w:val="Bibliographie1"/>
        <w:keepLines/>
      </w:pPr>
      <w:r w:rsidRPr="00E01386">
        <w:t>INFORMATION GOVERNANCE ANZ, 20</w:t>
      </w:r>
      <w:r>
        <w:t>21</w:t>
      </w:r>
      <w:r w:rsidRPr="00E01386">
        <w:t xml:space="preserve">. </w:t>
      </w:r>
      <w:r w:rsidRPr="00E01386">
        <w:rPr>
          <w:i/>
        </w:rPr>
        <w:t>IG Industry Survey Report</w:t>
      </w:r>
      <w:r w:rsidRPr="00E01386">
        <w:t xml:space="preserve"> [en ligne]. </w:t>
      </w:r>
      <w:r>
        <w:t>Mai</w:t>
      </w:r>
      <w:r w:rsidRPr="00E01386">
        <w:t xml:space="preserve"> 2019. [Consulté le </w:t>
      </w:r>
      <w:r>
        <w:t>7</w:t>
      </w:r>
      <w:r w:rsidRPr="00E01386">
        <w:t xml:space="preserve"> </w:t>
      </w:r>
      <w:r>
        <w:t>juin</w:t>
      </w:r>
      <w:r w:rsidRPr="00E01386">
        <w:t xml:space="preserve"> 20</w:t>
      </w:r>
      <w:r>
        <w:t>22</w:t>
      </w:r>
      <w:r w:rsidRPr="00E01386">
        <w:t xml:space="preserve">] Disponible à l'adresse : </w:t>
      </w:r>
      <w:hyperlink r:id="rId43" w:anchor="survey-reports" w:history="1">
        <w:r w:rsidRPr="00E01386">
          <w:rPr>
            <w:rStyle w:val="Lienhypertexte"/>
          </w:rPr>
          <w:t>https://www.infogovanz.com/resources/#survey-reports</w:t>
        </w:r>
      </w:hyperlink>
    </w:p>
    <w:p w14:paraId="03DD3218" w14:textId="77777777" w:rsidR="00796FA4" w:rsidRDefault="00796FA4" w:rsidP="00796FA4">
      <w:pPr>
        <w:pStyle w:val="Bibliographie1"/>
      </w:pPr>
      <w:r w:rsidRPr="00495697">
        <w:rPr>
          <w:lang w:val="en-US"/>
        </w:rPr>
        <w:t xml:space="preserve">INFORMATION GOVERNANCE INITIATIVE, 2018. IGI State of the Industry Report [en ligne]. </w:t>
      </w:r>
      <w:r w:rsidRPr="006D7B20">
        <w:t xml:space="preserve">Vol. 3. </w:t>
      </w:r>
      <w:r w:rsidRPr="00495697">
        <w:t xml:space="preserve">[Consulté le 19 octobre 2021]. Disponible à l’adresse : </w:t>
      </w:r>
      <w:hyperlink r:id="rId44" w:history="1">
        <w:r w:rsidRPr="00151DE4">
          <w:rPr>
            <w:rStyle w:val="Lienhypertexte"/>
          </w:rPr>
          <w:t>https://iginitiative.com/wp-content/uploads/The-State-of-IG-Report-Volume-III-highres.pdf</w:t>
        </w:r>
      </w:hyperlink>
    </w:p>
    <w:p w14:paraId="57D777FE" w14:textId="77777777" w:rsidR="00796FA4" w:rsidRDefault="00796FA4" w:rsidP="00796FA4">
      <w:pPr>
        <w:pStyle w:val="Bibliographie1"/>
      </w:pPr>
      <w:r w:rsidRPr="00495697">
        <w:rPr>
          <w:lang w:val="en-US"/>
        </w:rPr>
        <w:t xml:space="preserve">INTERPARES TRUST, 2018a. Governance (English). </w:t>
      </w:r>
      <w:r w:rsidRPr="002C1656">
        <w:rPr>
          <w:i/>
        </w:rPr>
        <w:t>ITrust Terminology</w:t>
      </w:r>
      <w:r>
        <w:t xml:space="preserve"> [en ligne]. [Consulté le 28 septembre 2021]. Disponible à l’adresse : </w:t>
      </w:r>
      <w:hyperlink r:id="rId45" w:history="1">
        <w:r w:rsidRPr="00D8089F">
          <w:rPr>
            <w:rStyle w:val="Lienhypertexte"/>
          </w:rPr>
          <w:t>https://interparestrust.org/terminology/term/governance/en</w:t>
        </w:r>
      </w:hyperlink>
    </w:p>
    <w:p w14:paraId="00232ABC" w14:textId="01C21663" w:rsidR="00796FA4" w:rsidRDefault="00796FA4" w:rsidP="00796FA4">
      <w:pPr>
        <w:pStyle w:val="Bibliographie1"/>
      </w:pPr>
      <w:r w:rsidRPr="006D27EC">
        <w:t>INTERPARES TRUST, 201</w:t>
      </w:r>
      <w:r>
        <w:t>8b</w:t>
      </w:r>
      <w:r w:rsidRPr="006D27EC">
        <w:t xml:space="preserve">. </w:t>
      </w:r>
      <w:r>
        <w:t>Information</w:t>
      </w:r>
      <w:r w:rsidRPr="006D27EC">
        <w:t xml:space="preserve"> (English). </w:t>
      </w:r>
      <w:r w:rsidRPr="006D27EC">
        <w:rPr>
          <w:i/>
        </w:rPr>
        <w:t>ITrust Terminology</w:t>
      </w:r>
      <w:r w:rsidRPr="006D27EC">
        <w:t xml:space="preserve"> [en ligne]. [Consulté le </w:t>
      </w:r>
      <w:r w:rsidR="00253E78">
        <w:t>8 juin 2022</w:t>
      </w:r>
      <w:r w:rsidRPr="006D27EC">
        <w:t>]. Disponible à l’adresse :</w:t>
      </w:r>
      <w:r>
        <w:t xml:space="preserve"> </w:t>
      </w:r>
      <w:hyperlink r:id="rId46" w:history="1">
        <w:r w:rsidRPr="00D8089F">
          <w:rPr>
            <w:rStyle w:val="Lienhypertexte"/>
          </w:rPr>
          <w:t>https://interparestrust.org/terminology/term/information/en</w:t>
        </w:r>
      </w:hyperlink>
    </w:p>
    <w:p w14:paraId="04BA1ACF" w14:textId="04DB54C4" w:rsidR="00253E78" w:rsidRDefault="00253E78" w:rsidP="00253E78">
      <w:pPr>
        <w:pStyle w:val="Bibliographie1"/>
      </w:pPr>
      <w:r w:rsidRPr="00253E78">
        <w:t>INTERPARES TRUST, 2018</w:t>
      </w:r>
      <w:r>
        <w:t>c</w:t>
      </w:r>
      <w:r w:rsidRPr="00253E78">
        <w:t xml:space="preserve">. </w:t>
      </w:r>
      <w:r>
        <w:t xml:space="preserve">Information asset </w:t>
      </w:r>
      <w:r w:rsidRPr="00253E78">
        <w:t xml:space="preserve">(English). </w:t>
      </w:r>
      <w:r w:rsidRPr="00253E78">
        <w:rPr>
          <w:i/>
        </w:rPr>
        <w:t>ITrust Terminology</w:t>
      </w:r>
      <w:r w:rsidRPr="00253E78">
        <w:t xml:space="preserve"> [en ligne]. [Consulté le </w:t>
      </w:r>
      <w:r>
        <w:t>8 juin 2022</w:t>
      </w:r>
      <w:r w:rsidRPr="00253E78">
        <w:t xml:space="preserve">]. Disponible à l’adresse : </w:t>
      </w:r>
      <w:hyperlink r:id="rId47" w:history="1">
        <w:r w:rsidRPr="00665B1C">
          <w:rPr>
            <w:rStyle w:val="Lienhypertexte"/>
          </w:rPr>
          <w:t>http://interparestrust.org/terminology/term/information%20asset</w:t>
        </w:r>
      </w:hyperlink>
    </w:p>
    <w:p w14:paraId="602B3182" w14:textId="495AC818" w:rsidR="00796FA4" w:rsidRDefault="00796FA4" w:rsidP="00796FA4">
      <w:pPr>
        <w:pStyle w:val="Bibliographie1"/>
      </w:pPr>
      <w:r w:rsidRPr="00572237">
        <w:t xml:space="preserve">JENIK, Claire, 2019. Une minute sur Internet en 2019. </w:t>
      </w:r>
      <w:r w:rsidRPr="00572237">
        <w:rPr>
          <w:i/>
        </w:rPr>
        <w:t>Statista</w:t>
      </w:r>
      <w:r w:rsidRPr="00572237">
        <w:t xml:space="preserve"> [en ligne]. 18 juillet 2019. [Consulté le 2</w:t>
      </w:r>
      <w:r>
        <w:t>8</w:t>
      </w:r>
      <w:r w:rsidRPr="00572237">
        <w:t xml:space="preserve"> septembre 20</w:t>
      </w:r>
      <w:r>
        <w:t>21</w:t>
      </w:r>
      <w:r w:rsidRPr="00572237">
        <w:t>]. Disponible à l'adresse</w:t>
      </w:r>
      <w:r>
        <w:t> </w:t>
      </w:r>
      <w:r w:rsidRPr="00572237">
        <w:t xml:space="preserve">: </w:t>
      </w:r>
      <w:hyperlink r:id="rId48" w:history="1">
        <w:r w:rsidRPr="004752B9">
          <w:rPr>
            <w:rStyle w:val="Lienhypertexte"/>
          </w:rPr>
          <w:t>https://fr.statista.com/infographie/13160/activite-sur-internet-en-une-minute/</w:t>
        </w:r>
      </w:hyperlink>
    </w:p>
    <w:p w14:paraId="3BCF1F77" w14:textId="77777777" w:rsidR="0060056F" w:rsidRPr="00935EC6" w:rsidRDefault="0060056F" w:rsidP="0060056F">
      <w:pPr>
        <w:pStyle w:val="Bibliographie1"/>
      </w:pPr>
      <w:r w:rsidRPr="006D7B20">
        <w:rPr>
          <w:lang w:val="en-CA"/>
        </w:rPr>
        <w:t xml:space="preserve">MAKLOUF SHABOU, Basma, 2018. An Information Governance Policy Is Required for My Institution, What to Do?: Practical Method and Tool Enabling Efficient Management for Corporate Information Assets. In: KATUU, Shadrack (ed.). </w:t>
      </w:r>
      <w:r w:rsidRPr="006D7B20">
        <w:rPr>
          <w:i/>
          <w:iCs/>
          <w:lang w:val="en-CA"/>
        </w:rPr>
        <w:t>Diverse Applications and Transferability of Maturity Models</w:t>
      </w:r>
      <w:r w:rsidRPr="006D7B20">
        <w:rPr>
          <w:lang w:val="en-CA"/>
        </w:rPr>
        <w:t xml:space="preserve">. </w:t>
      </w:r>
      <w:r w:rsidRPr="00935EC6">
        <w:t xml:space="preserve">IG Global, pp. 61-91. ISBN 9781522570806. [Consulté le 14 octobre 2021]. Disponible à l'adresse : </w:t>
      </w:r>
      <w:hyperlink r:id="rId49" w:history="1">
        <w:r w:rsidRPr="00935EC6">
          <w:rPr>
            <w:rStyle w:val="Lienhypertexte"/>
            <w:lang w:val="fr-FR"/>
          </w:rPr>
          <w:t>https://arodes.hes-so.ch/record/3209?ln=fr</w:t>
        </w:r>
      </w:hyperlink>
    </w:p>
    <w:p w14:paraId="13F6EF4D" w14:textId="77777777" w:rsidR="0060056F" w:rsidRPr="0060056F" w:rsidRDefault="0060056F" w:rsidP="0060056F">
      <w:pPr>
        <w:pStyle w:val="Bibliographie1"/>
      </w:pPr>
      <w:r w:rsidRPr="0060056F">
        <w:rPr>
          <w:lang w:val="en-CA"/>
        </w:rPr>
        <w:t xml:space="preserve">MAKLOUF SHABOU, Basma (ed.), 2019. </w:t>
      </w:r>
      <w:r w:rsidRPr="006D7B20">
        <w:rPr>
          <w:lang w:val="en-CA"/>
        </w:rPr>
        <w:t>Strategies, methods and tools enabling records governance in a cloud environment</w:t>
      </w:r>
      <w:r w:rsidRPr="0060056F">
        <w:rPr>
          <w:lang w:val="en-CA"/>
        </w:rPr>
        <w:t xml:space="preserve">. In: DURANTI, Luciana et ROGERS, Corinne (ed.). </w:t>
      </w:r>
      <w:r w:rsidRPr="0060056F">
        <w:rPr>
          <w:i/>
          <w:lang w:val="en-CA"/>
        </w:rPr>
        <w:t>Trusting records and data in the cloud</w:t>
      </w:r>
      <w:r w:rsidRPr="0060056F">
        <w:rPr>
          <w:lang w:val="en-CA"/>
        </w:rPr>
        <w:t xml:space="preserve"> [en ligne]. </w:t>
      </w:r>
      <w:r w:rsidRPr="0060056F">
        <w:t xml:space="preserve">London : Facet Publishing, pp. 97-116. [Consulté le 17 octobre 2021]. Disponible à l’adresse : </w:t>
      </w:r>
      <w:hyperlink r:id="rId50" w:history="1">
        <w:r w:rsidRPr="0060056F">
          <w:rPr>
            <w:rStyle w:val="Lienhypertexte"/>
          </w:rPr>
          <w:t>https://arodes.hes-so.ch/record/7958?ln=fr</w:t>
        </w:r>
      </w:hyperlink>
    </w:p>
    <w:p w14:paraId="03471300" w14:textId="77777777" w:rsidR="0060056F" w:rsidRPr="00935EC6" w:rsidRDefault="0060056F" w:rsidP="0060056F">
      <w:pPr>
        <w:pStyle w:val="Bibliographie1"/>
      </w:pPr>
      <w:r w:rsidRPr="006D7B20">
        <w:rPr>
          <w:lang w:val="en-CA"/>
        </w:rPr>
        <w:t xml:space="preserve">MAKHLOUF SHABOU, Basma, NOBS, Gregory, [s.d.]. </w:t>
      </w:r>
      <w:r w:rsidRPr="00935EC6">
        <w:t xml:space="preserve">Modèle de politique de gouvernance informationnelle pour les organisations : structure et contenu. In: MAUREL, Dominique, DUFOUR, Christine, ZWARICH, Natasha (éd.). </w:t>
      </w:r>
      <w:r w:rsidRPr="00935EC6">
        <w:rPr>
          <w:i/>
        </w:rPr>
        <w:t>La gouvernance informationnelle dans les organisations</w:t>
      </w:r>
      <w:r w:rsidRPr="00935EC6">
        <w:t>. Québec: Presses universitaires du Québec. En cours de publication.</w:t>
      </w:r>
    </w:p>
    <w:p w14:paraId="58B0990D" w14:textId="77777777" w:rsidR="0060056F" w:rsidRPr="00935EC6" w:rsidRDefault="0060056F" w:rsidP="0060056F">
      <w:pPr>
        <w:pStyle w:val="Bibliographie1"/>
      </w:pPr>
      <w:r w:rsidRPr="00935EC6">
        <w:lastRenderedPageBreak/>
        <w:t xml:space="preserve">MAKHLOUF SHABOU, Basma, NOBS, Gregory, NICOLET, Aurèle, 2019. </w:t>
      </w:r>
      <w:r w:rsidRPr="00935EC6">
        <w:rPr>
          <w:i/>
        </w:rPr>
        <w:t>Analyse de politiques de gouvernance informationnelle : rapport de recherche</w:t>
      </w:r>
      <w:r w:rsidRPr="00935EC6">
        <w:t xml:space="preserve"> [en ligne]. 26 juin 2019. [Consulté le 14 octobre 2021]. Disponible à l'adresse : </w:t>
      </w:r>
      <w:hyperlink r:id="rId51" w:history="1">
        <w:r w:rsidRPr="00935EC6">
          <w:rPr>
            <w:rStyle w:val="Lienhypertexte"/>
          </w:rPr>
          <w:t>https://arodes.hes-so.ch/record/3773?ln=fr</w:t>
        </w:r>
      </w:hyperlink>
    </w:p>
    <w:p w14:paraId="4D381B98" w14:textId="77777777" w:rsidR="006B04EA" w:rsidRDefault="006B04EA" w:rsidP="006B04EA">
      <w:pPr>
        <w:pStyle w:val="Bibliographie1"/>
        <w:keepLines/>
      </w:pPr>
      <w:r w:rsidRPr="00151FEA">
        <w:rPr>
          <w:lang w:val="en-US"/>
        </w:rPr>
        <w:t xml:space="preserve">MANCINI, John, 2019. </w:t>
      </w:r>
      <w:r w:rsidRPr="00151FEA">
        <w:rPr>
          <w:i/>
          <w:lang w:val="en-US"/>
        </w:rPr>
        <w:t>Accessible AND Secure – Best Practices for Automating Information Governance</w:t>
      </w:r>
      <w:r w:rsidRPr="00151FEA">
        <w:rPr>
          <w:lang w:val="en-US"/>
        </w:rPr>
        <w:t xml:space="preserve"> [en ligne]. </w:t>
      </w:r>
      <w:r w:rsidRPr="00151FEA">
        <w:t>AIIM Industry Watch. [Consulté le 2</w:t>
      </w:r>
      <w:r>
        <w:t xml:space="preserve">4 </w:t>
      </w:r>
      <w:r w:rsidRPr="00151FEA">
        <w:t>novembre 20</w:t>
      </w:r>
      <w:r>
        <w:t>21</w:t>
      </w:r>
      <w:r w:rsidRPr="00151FEA">
        <w:t>] Disponible à l'adresse</w:t>
      </w:r>
      <w:r>
        <w:t> </w:t>
      </w:r>
      <w:r w:rsidRPr="00151FEA">
        <w:t xml:space="preserve">: </w:t>
      </w:r>
      <w:hyperlink r:id="rId52" w:history="1">
        <w:r w:rsidRPr="00835C79">
          <w:rPr>
            <w:rStyle w:val="Lienhypertexte"/>
          </w:rPr>
          <w:t>https://info.aiim.org/accessible-and-secure-best-practices-for-automating-information-governance</w:t>
        </w:r>
      </w:hyperlink>
    </w:p>
    <w:p w14:paraId="7C876C28" w14:textId="77777777" w:rsidR="006B04EA" w:rsidRDefault="006B04EA" w:rsidP="006B04EA">
      <w:pPr>
        <w:pStyle w:val="Bibliographie1"/>
        <w:keepLines/>
      </w:pPr>
      <w:r w:rsidRPr="00042E67">
        <w:rPr>
          <w:lang w:val="en-US"/>
        </w:rPr>
        <w:t xml:space="preserve">MARKARIAN, Josh, 2019. Information Governance in the Cloud: 9 Trends To Watch. </w:t>
      </w:r>
      <w:r w:rsidRPr="00042E67">
        <w:rPr>
          <w:i/>
        </w:rPr>
        <w:t>Teris</w:t>
      </w:r>
      <w:r w:rsidRPr="00042E67">
        <w:t xml:space="preserve"> [en ligne]. 21 octobre 2019. [Consulté le 2</w:t>
      </w:r>
      <w:r>
        <w:t>4</w:t>
      </w:r>
      <w:r w:rsidRPr="00042E67">
        <w:t xml:space="preserve"> novembre 20</w:t>
      </w:r>
      <w:r>
        <w:t>21</w:t>
      </w:r>
      <w:r w:rsidRPr="00042E67">
        <w:t>]. Disponible à l'adresse</w:t>
      </w:r>
      <w:r>
        <w:t> </w:t>
      </w:r>
      <w:r w:rsidRPr="00042E67">
        <w:t xml:space="preserve">: </w:t>
      </w:r>
      <w:hyperlink r:id="rId53" w:history="1">
        <w:r w:rsidRPr="00914FA2">
          <w:rPr>
            <w:rStyle w:val="Lienhypertexte"/>
          </w:rPr>
          <w:t>https://teris.com/information-governance-in-the-cloud-9-trends-to-watch-2/</w:t>
        </w:r>
      </w:hyperlink>
    </w:p>
    <w:p w14:paraId="4EA481B6" w14:textId="77777777" w:rsidR="00796FA4" w:rsidRDefault="00796FA4" w:rsidP="00796FA4">
      <w:pPr>
        <w:pStyle w:val="Bibliographie1"/>
      </w:pPr>
      <w:r w:rsidRPr="008044D1">
        <w:t xml:space="preserve">MINISTÈRE DE L'ÉDUCATION NATIONALE ET DE LA JEUNESSE, 2012. Accessibility: indexation de ressources (métadonnées, normes et standards). </w:t>
      </w:r>
      <w:r w:rsidRPr="008044D1">
        <w:rPr>
          <w:i/>
        </w:rPr>
        <w:t>Éduscol : l'actualité du numérique</w:t>
      </w:r>
      <w:r w:rsidRPr="008044D1">
        <w:t xml:space="preserve"> [en ligne]. 15 octobre 2012 [Consulté le </w:t>
      </w:r>
      <w:r w:rsidRPr="00631BB0">
        <w:t>28 septembre 2021</w:t>
      </w:r>
      <w:r w:rsidRPr="008044D1">
        <w:t>]. Disponible à l'adresse</w:t>
      </w:r>
      <w:r>
        <w:t> </w:t>
      </w:r>
      <w:r w:rsidRPr="008044D1">
        <w:t xml:space="preserve">: </w:t>
      </w:r>
      <w:hyperlink r:id="rId54" w:history="1">
        <w:r w:rsidRPr="00890781">
          <w:rPr>
            <w:rStyle w:val="Lienhypertexte"/>
          </w:rPr>
          <w:t>http://eduscol.education.fr/numerique/dossier/archives/metadata/@@document_whole</w:t>
        </w:r>
      </w:hyperlink>
    </w:p>
    <w:p w14:paraId="2E904F52" w14:textId="77777777" w:rsidR="006B04EA" w:rsidRPr="0060056F" w:rsidRDefault="006B04EA" w:rsidP="006B04EA">
      <w:pPr>
        <w:pStyle w:val="Bibliographie1"/>
      </w:pPr>
      <w:r w:rsidRPr="0060056F">
        <w:t xml:space="preserve">MONASH UNIVERSITY, 2017. </w:t>
      </w:r>
      <w:r w:rsidRPr="0060056F">
        <w:rPr>
          <w:i/>
        </w:rPr>
        <w:t>Information Asset Register</w:t>
      </w:r>
      <w:r w:rsidRPr="0060056F">
        <w:t xml:space="preserve"> [en ligne]. 14 décembre 2017. [Consulté le 6 octobre 2021]. Disponible à l'adresse : </w:t>
      </w:r>
      <w:hyperlink r:id="rId55" w:history="1">
        <w:r w:rsidRPr="0060056F">
          <w:rPr>
            <w:rStyle w:val="Lienhypertexte"/>
            <w:lang w:val="fr-FR"/>
          </w:rPr>
          <w:t>https://adm.monash.edu/records-archives/archives/IAR/information-asset-register.xml</w:t>
        </w:r>
      </w:hyperlink>
    </w:p>
    <w:p w14:paraId="1811147D" w14:textId="77777777" w:rsidR="00796FA4" w:rsidRDefault="00796FA4" w:rsidP="00796FA4">
      <w:pPr>
        <w:pStyle w:val="Bibliographie1"/>
      </w:pPr>
      <w:r w:rsidRPr="00495697">
        <w:rPr>
          <w:lang w:val="en-US"/>
        </w:rPr>
        <w:t xml:space="preserve">MOORE, Susan, KEEN, Emma, 2018. Gartner Forecasts Worldwide Information Security Spending to Exceed $124 Billion in 2019. </w:t>
      </w:r>
      <w:r w:rsidRPr="00010C04">
        <w:rPr>
          <w:i/>
        </w:rPr>
        <w:t>Gartner</w:t>
      </w:r>
      <w:r w:rsidRPr="00010C04">
        <w:t xml:space="preserve"> [en ligne]. 15 août 2018. [Consulté le </w:t>
      </w:r>
      <w:r w:rsidRPr="00631BB0">
        <w:t>28 septembre 2021</w:t>
      </w:r>
      <w:r w:rsidRPr="00010C04">
        <w:t>]. Disponible à l'adresse</w:t>
      </w:r>
      <w:r>
        <w:t> </w:t>
      </w:r>
      <w:r w:rsidRPr="00010C04">
        <w:t xml:space="preserve">: </w:t>
      </w:r>
      <w:hyperlink r:id="rId56" w:history="1">
        <w:r w:rsidRPr="00C42141">
          <w:rPr>
            <w:rStyle w:val="Lienhypertexte"/>
          </w:rPr>
          <w:t>https://www.gartner.com/en/newsroom/press-releases/2018-08-15-gartner-forecasts-worldwide-information-security-spending-to-exceed-124-billion-in-2019</w:t>
        </w:r>
      </w:hyperlink>
    </w:p>
    <w:p w14:paraId="247F5BCD" w14:textId="77777777" w:rsidR="006B04EA" w:rsidRPr="00935EC6" w:rsidRDefault="006B04EA" w:rsidP="006B04EA">
      <w:pPr>
        <w:pStyle w:val="Bibliographie1"/>
      </w:pPr>
      <w:r w:rsidRPr="00935EC6">
        <w:t xml:space="preserve">THE NATIONAL ARCHIVES, 2017. </w:t>
      </w:r>
      <w:r w:rsidRPr="00935EC6">
        <w:rPr>
          <w:i/>
        </w:rPr>
        <w:t>Identifying Information Assets and Business Requirements</w:t>
      </w:r>
      <w:r w:rsidRPr="00935EC6">
        <w:t xml:space="preserve"> [en ligne]. Février 2017. [Consulté le 14 octobre 2021]. Disponible à l'adresse : </w:t>
      </w:r>
      <w:hyperlink r:id="rId57" w:history="1">
        <w:r w:rsidRPr="00935EC6">
          <w:rPr>
            <w:rStyle w:val="Lienhypertexte"/>
          </w:rPr>
          <w:t>https://www.nationalarchives.gov.uk/documents/information-management/identify-information-assets.pdf</w:t>
        </w:r>
      </w:hyperlink>
    </w:p>
    <w:p w14:paraId="44F192DA" w14:textId="77777777" w:rsidR="006B04EA" w:rsidRPr="0060056F" w:rsidRDefault="006B04EA" w:rsidP="006B04EA">
      <w:pPr>
        <w:pStyle w:val="Bibliographie1"/>
      </w:pPr>
      <w:r w:rsidRPr="006D7B20">
        <w:rPr>
          <w:lang w:val="en-CA"/>
        </w:rPr>
        <w:t xml:space="preserve">NATIONAL ARCHIVES OF AUSTRALIA, [s.d.]a. Designing and maintaining an information asset register. </w:t>
      </w:r>
      <w:r w:rsidRPr="0060056F">
        <w:rPr>
          <w:i/>
        </w:rPr>
        <w:t>Site des archives nationales d'Australie</w:t>
      </w:r>
      <w:r w:rsidRPr="0060056F">
        <w:t xml:space="preserve"> [en ligne]. Consulté le 4 octobre 2021]. Disponible à l'adresse : </w:t>
      </w:r>
      <w:hyperlink r:id="rId58" w:history="1">
        <w:r w:rsidRPr="0060056F">
          <w:rPr>
            <w:rStyle w:val="Lienhypertexte"/>
          </w:rPr>
          <w:t>https://www.naa.gov.au/information-management/information-governance/conducting-information-review/designing-and-maintaining-information-asset-register</w:t>
        </w:r>
      </w:hyperlink>
    </w:p>
    <w:p w14:paraId="029B84B3" w14:textId="77777777" w:rsidR="006B04EA" w:rsidRPr="0060056F" w:rsidRDefault="006B04EA" w:rsidP="006B04EA">
      <w:pPr>
        <w:pStyle w:val="Bibliographie1"/>
      </w:pPr>
      <w:r w:rsidRPr="006D7B20">
        <w:rPr>
          <w:lang w:val="en-CA"/>
        </w:rPr>
        <w:t xml:space="preserve">NATIONAL ARCHIVES OF AUSTRALIA, [s.d.]b. </w:t>
      </w:r>
      <w:r w:rsidRPr="0060056F">
        <w:t xml:space="preserve">Information asset register template. </w:t>
      </w:r>
      <w:r w:rsidRPr="0060056F">
        <w:rPr>
          <w:i/>
        </w:rPr>
        <w:t>Site des archives nationales d'Australie</w:t>
      </w:r>
      <w:r w:rsidRPr="0060056F">
        <w:t xml:space="preserve"> [en ligne]. Consulté le 4 octobre 2021]. Disponible à l'adresse : </w:t>
      </w:r>
      <w:hyperlink r:id="rId59" w:history="1">
        <w:r w:rsidRPr="0060056F">
          <w:rPr>
            <w:rStyle w:val="Lienhypertexte"/>
          </w:rPr>
          <w:t>https://www.naa.gov.au/sites/default/files/2021-06/Information-Asset-Register-template.XLSX</w:t>
        </w:r>
      </w:hyperlink>
    </w:p>
    <w:p w14:paraId="233E6FCA" w14:textId="77777777" w:rsidR="006B04EA" w:rsidRPr="0060056F" w:rsidRDefault="006B04EA" w:rsidP="006B04EA">
      <w:pPr>
        <w:pStyle w:val="Bibliographie1"/>
      </w:pPr>
      <w:r w:rsidRPr="006D7B20">
        <w:rPr>
          <w:lang w:val="en-CA"/>
        </w:rPr>
        <w:t xml:space="preserve">OFFICE OF THE VICTORIAN INFORMATION COMMISSIONER, 2020. </w:t>
      </w:r>
      <w:r w:rsidRPr="0060056F">
        <w:rPr>
          <w:i/>
        </w:rPr>
        <w:t>Sample Information Asset Register (IAR) Template</w:t>
      </w:r>
      <w:r w:rsidRPr="0060056F">
        <w:t xml:space="preserve"> [en ligne]. Novembre 2019. Mis à jour novembre 2020. [Consulté le 5 octobre 2021]. Disponible à l'adresse : </w:t>
      </w:r>
      <w:hyperlink r:id="rId60" w:history="1">
        <w:r w:rsidRPr="0060056F">
          <w:rPr>
            <w:rStyle w:val="Lienhypertexte"/>
          </w:rPr>
          <w:t>https://ovic.vic.gov.au/resource/sample-information-asset-register-iar-template/</w:t>
        </w:r>
      </w:hyperlink>
    </w:p>
    <w:p w14:paraId="0C14EBE9" w14:textId="77777777" w:rsidR="00796FA4" w:rsidRDefault="00796FA4" w:rsidP="00796FA4">
      <w:pPr>
        <w:pStyle w:val="Bibliographie1"/>
      </w:pPr>
      <w:r w:rsidRPr="00243DF0">
        <w:t xml:space="preserve">ORGANISATION INTERNATIONALE DE NORMALISATION, 2004. </w:t>
      </w:r>
      <w:r w:rsidRPr="00243DF0">
        <w:rPr>
          <w:i/>
        </w:rPr>
        <w:t xml:space="preserve">Guide 2: Normalisation et activités connexes — Vocabulaire général </w:t>
      </w:r>
      <w:r w:rsidRPr="00243DF0">
        <w:t xml:space="preserve">[en ligne]. 8e éd. Genève : ISO. [Consulté le 19 octobre 2021]. Disponible à l'adresse : </w:t>
      </w:r>
      <w:hyperlink r:id="rId61" w:history="1">
        <w:r w:rsidRPr="00243DF0">
          <w:rPr>
            <w:rStyle w:val="Lienhypertexte"/>
          </w:rPr>
          <w:t>https://www.iso.org/files/live/sites/isoorg/files/archive/pdf/fr/iso_iec_guide_2_2004.pdf</w:t>
        </w:r>
      </w:hyperlink>
    </w:p>
    <w:p w14:paraId="7C95E723" w14:textId="77777777" w:rsidR="009469BA" w:rsidRPr="006502AB" w:rsidRDefault="009469BA" w:rsidP="009469BA">
      <w:pPr>
        <w:pStyle w:val="Bibliographie1"/>
        <w:keepLines/>
      </w:pPr>
      <w:r w:rsidRPr="006502AB">
        <w:lastRenderedPageBreak/>
        <w:t>ORGANISATION INTERNATIONALE DE NORMALISATION, 201</w:t>
      </w:r>
      <w:r>
        <w:t>1a</w:t>
      </w:r>
      <w:r w:rsidRPr="006502AB">
        <w:t xml:space="preserve">. </w:t>
      </w:r>
      <w:r w:rsidRPr="00276147">
        <w:rPr>
          <w:i/>
        </w:rPr>
        <w:t>Information et documentation —</w:t>
      </w:r>
      <w:r>
        <w:rPr>
          <w:i/>
        </w:rPr>
        <w:t xml:space="preserve"> </w:t>
      </w:r>
      <w:r w:rsidRPr="00276147">
        <w:rPr>
          <w:i/>
        </w:rPr>
        <w:t>Systèmes de gestion des documents</w:t>
      </w:r>
      <w:r>
        <w:rPr>
          <w:i/>
        </w:rPr>
        <w:t xml:space="preserve"> </w:t>
      </w:r>
      <w:r w:rsidRPr="00276147">
        <w:rPr>
          <w:i/>
        </w:rPr>
        <w:t>d’activité — Principes essentiels et</w:t>
      </w:r>
      <w:r>
        <w:rPr>
          <w:i/>
        </w:rPr>
        <w:t xml:space="preserve"> </w:t>
      </w:r>
      <w:r w:rsidRPr="00276147">
        <w:rPr>
          <w:i/>
        </w:rPr>
        <w:t>vocabulaire</w:t>
      </w:r>
      <w:r w:rsidRPr="006B3921">
        <w:t>. G</w:t>
      </w:r>
      <w:r w:rsidRPr="006502AB">
        <w:t xml:space="preserve">enève : ISO, </w:t>
      </w:r>
      <w:r>
        <w:t>15 décembre 2011</w:t>
      </w:r>
      <w:r w:rsidRPr="006502AB">
        <w:t>. ISO</w:t>
      </w:r>
      <w:r>
        <w:t xml:space="preserve"> 30300</w:t>
      </w:r>
    </w:p>
    <w:p w14:paraId="543A10B0" w14:textId="753942E1" w:rsidR="006B04EA" w:rsidRPr="0060056F" w:rsidRDefault="006B04EA" w:rsidP="006B04EA">
      <w:pPr>
        <w:pStyle w:val="Bibliographie1"/>
      </w:pPr>
      <w:r w:rsidRPr="0060056F">
        <w:t>ORGANISATION INTERNATIONALE DE NORMALISATION, 2011</w:t>
      </w:r>
      <w:r w:rsidR="009469BA">
        <w:t>b</w:t>
      </w:r>
      <w:r w:rsidRPr="0060056F">
        <w:t xml:space="preserve">. </w:t>
      </w:r>
      <w:r w:rsidRPr="0060056F">
        <w:rPr>
          <w:i/>
        </w:rPr>
        <w:t>Technologies de l'information - Techniques de sécurité - Gestion des risques liés à la sécurité de l'information</w:t>
      </w:r>
      <w:r w:rsidRPr="0060056F">
        <w:t>. 2e éd. Genève : ISO, 6 janvier 2011. ISO/IEC 27005</w:t>
      </w:r>
    </w:p>
    <w:p w14:paraId="529F1936" w14:textId="77777777" w:rsidR="006B04EA" w:rsidRPr="0060056F" w:rsidRDefault="006B04EA" w:rsidP="006B04EA">
      <w:pPr>
        <w:pStyle w:val="Bibliographie1"/>
      </w:pPr>
      <w:r w:rsidRPr="0060056F">
        <w:t xml:space="preserve">ORGANISATION INTERNATIONALE DE NORMALISATION, 2014. </w:t>
      </w:r>
      <w:r w:rsidRPr="0060056F">
        <w:rPr>
          <w:i/>
        </w:rPr>
        <w:t>Information et documentation - Évaluation du risque pour les processus et systèmes d'enregistrement</w:t>
      </w:r>
      <w:r w:rsidRPr="0060056F">
        <w:t>. Genève : ISO, 15 mars 2014. ISO/IEC 18128</w:t>
      </w:r>
    </w:p>
    <w:p w14:paraId="25F9C4DF" w14:textId="182306E1" w:rsidR="009469BA" w:rsidRDefault="009469BA" w:rsidP="009469BA">
      <w:pPr>
        <w:pStyle w:val="Bibliographie1"/>
        <w:rPr>
          <w:lang w:val="fr-FR"/>
        </w:rPr>
      </w:pPr>
      <w:r w:rsidRPr="009469BA">
        <w:rPr>
          <w:lang w:val="fr-FR"/>
        </w:rPr>
        <w:t>ORGANISATION INTERNATIONALE DE NORMALISATION, 20</w:t>
      </w:r>
      <w:r>
        <w:rPr>
          <w:lang w:val="fr-FR"/>
        </w:rPr>
        <w:t>15a</w:t>
      </w:r>
      <w:r w:rsidRPr="009469BA">
        <w:rPr>
          <w:lang w:val="fr-FR"/>
        </w:rPr>
        <w:t>.</w:t>
      </w:r>
      <w:r>
        <w:rPr>
          <w:lang w:val="fr-FR"/>
        </w:rPr>
        <w:t xml:space="preserve"> </w:t>
      </w:r>
      <w:r w:rsidRPr="009469BA">
        <w:rPr>
          <w:i/>
          <w:lang w:val="fr-FR"/>
        </w:rPr>
        <w:t>Information et documentation — Système de gestion des documents d'activité — Lignes directrices de mise en œuvre</w:t>
      </w:r>
      <w:r>
        <w:rPr>
          <w:lang w:val="fr-FR"/>
        </w:rPr>
        <w:t xml:space="preserve">. </w:t>
      </w:r>
      <w:r w:rsidRPr="009469BA">
        <w:rPr>
          <w:lang w:val="fr-FR"/>
        </w:rPr>
        <w:t xml:space="preserve">Genève : ISO, </w:t>
      </w:r>
      <w:r>
        <w:rPr>
          <w:lang w:val="fr-FR"/>
        </w:rPr>
        <w:t>15 septembre 2015</w:t>
      </w:r>
      <w:r w:rsidRPr="009469BA">
        <w:rPr>
          <w:lang w:val="fr-FR"/>
        </w:rPr>
        <w:t xml:space="preserve">. ISO </w:t>
      </w:r>
      <w:r>
        <w:rPr>
          <w:lang w:val="fr-FR"/>
        </w:rPr>
        <w:t>30302</w:t>
      </w:r>
    </w:p>
    <w:p w14:paraId="1FD6F339" w14:textId="77777777" w:rsidR="009469BA" w:rsidRDefault="009469BA" w:rsidP="009469BA">
      <w:pPr>
        <w:pStyle w:val="Bibliographie1"/>
        <w:rPr>
          <w:lang w:val="fr-FR"/>
        </w:rPr>
      </w:pPr>
      <w:r w:rsidRPr="009469BA">
        <w:rPr>
          <w:lang w:val="fr-FR"/>
        </w:rPr>
        <w:t>ORGANISATION INTERNATIONALE DE NORMALISATION, 20</w:t>
      </w:r>
      <w:r>
        <w:rPr>
          <w:lang w:val="fr-FR"/>
        </w:rPr>
        <w:t>15b</w:t>
      </w:r>
      <w:r w:rsidRPr="009469BA">
        <w:rPr>
          <w:lang w:val="fr-FR"/>
        </w:rPr>
        <w:t>.</w:t>
      </w:r>
      <w:r>
        <w:rPr>
          <w:lang w:val="fr-FR"/>
        </w:rPr>
        <w:t xml:space="preserve"> </w:t>
      </w:r>
      <w:r w:rsidRPr="009469BA">
        <w:rPr>
          <w:i/>
          <w:lang w:val="fr-FR"/>
        </w:rPr>
        <w:t>Technologies de l'information — Gouvernance des technologies de l'information pour l'entreprise</w:t>
      </w:r>
      <w:r>
        <w:rPr>
          <w:lang w:val="fr-FR"/>
        </w:rPr>
        <w:t>. 2</w:t>
      </w:r>
      <w:r w:rsidRPr="009469BA">
        <w:rPr>
          <w:vertAlign w:val="superscript"/>
          <w:lang w:val="fr-FR"/>
        </w:rPr>
        <w:t>e</w:t>
      </w:r>
      <w:r>
        <w:rPr>
          <w:lang w:val="fr-FR"/>
        </w:rPr>
        <w:t xml:space="preserve"> éd. </w:t>
      </w:r>
      <w:r w:rsidRPr="009469BA">
        <w:rPr>
          <w:lang w:val="fr-FR"/>
        </w:rPr>
        <w:t xml:space="preserve">Genève : ISO, </w:t>
      </w:r>
      <w:r>
        <w:rPr>
          <w:lang w:val="fr-FR"/>
        </w:rPr>
        <w:t>15 février 2015</w:t>
      </w:r>
      <w:r w:rsidRPr="009469BA">
        <w:rPr>
          <w:lang w:val="fr-FR"/>
        </w:rPr>
        <w:t>. ISO</w:t>
      </w:r>
      <w:r>
        <w:rPr>
          <w:lang w:val="fr-FR"/>
        </w:rPr>
        <w:t>/IEC</w:t>
      </w:r>
      <w:r w:rsidRPr="009469BA">
        <w:rPr>
          <w:lang w:val="fr-FR"/>
        </w:rPr>
        <w:t xml:space="preserve"> </w:t>
      </w:r>
      <w:r>
        <w:rPr>
          <w:lang w:val="fr-FR"/>
        </w:rPr>
        <w:t>38500</w:t>
      </w:r>
    </w:p>
    <w:p w14:paraId="3C970E53" w14:textId="77777777" w:rsidR="006B04EA" w:rsidRPr="0060056F" w:rsidRDefault="006B04EA" w:rsidP="006B04EA">
      <w:pPr>
        <w:pStyle w:val="Bibliographie1"/>
      </w:pPr>
      <w:r w:rsidRPr="0060056F">
        <w:t xml:space="preserve">ORGANISATION INTERNATIONALE DE NORMALISATION, 2016. </w:t>
      </w:r>
      <w:r w:rsidRPr="0060056F">
        <w:rPr>
          <w:i/>
        </w:rPr>
        <w:t>Information et documentation — Gestion des documents d’activité —</w:t>
      </w:r>
      <w:r w:rsidRPr="0060056F">
        <w:t xml:space="preserve"> </w:t>
      </w:r>
      <w:r w:rsidRPr="0060056F">
        <w:rPr>
          <w:i/>
        </w:rPr>
        <w:t>Partie 1 : Concepts et principes</w:t>
      </w:r>
      <w:r w:rsidRPr="0060056F">
        <w:t>. 2e éd. Genève : ISO, 15 avril 2016. ISO 15489-1</w:t>
      </w:r>
    </w:p>
    <w:p w14:paraId="0A0D5A9A" w14:textId="7F238DEC" w:rsidR="006B04EA" w:rsidRDefault="006B04EA" w:rsidP="006B04EA">
      <w:pPr>
        <w:pStyle w:val="Bibliographie1"/>
      </w:pPr>
      <w:r w:rsidRPr="0060056F">
        <w:t xml:space="preserve">ORGANISATION INTERNATIONALE DE NORMALISATION, 2018. </w:t>
      </w:r>
      <w:r w:rsidRPr="0060056F">
        <w:rPr>
          <w:i/>
        </w:rPr>
        <w:t>Technologies de l'information — Techniques de sécurité — Systèmes de management de la sécurité de l'information — Vue d'ensemble et vocabulaire</w:t>
      </w:r>
      <w:r w:rsidRPr="0060056F">
        <w:t>. 5e éd. Genève : ISO, février 2018. ISO/IEC 27000</w:t>
      </w:r>
    </w:p>
    <w:p w14:paraId="343B23E7" w14:textId="77777777" w:rsidR="009469BA" w:rsidRDefault="009469BA" w:rsidP="009469BA">
      <w:pPr>
        <w:pStyle w:val="Bibliographie1"/>
        <w:rPr>
          <w:lang w:val="fr-FR"/>
        </w:rPr>
      </w:pPr>
      <w:r w:rsidRPr="009469BA">
        <w:rPr>
          <w:lang w:val="fr-FR"/>
        </w:rPr>
        <w:t>ORGANISATION INTERNATIONALE DE NORMALISATION, 20</w:t>
      </w:r>
      <w:r>
        <w:rPr>
          <w:lang w:val="fr-FR"/>
        </w:rPr>
        <w:t>19</w:t>
      </w:r>
      <w:r w:rsidRPr="009469BA">
        <w:rPr>
          <w:lang w:val="fr-FR"/>
        </w:rPr>
        <w:t>.</w:t>
      </w:r>
      <w:r>
        <w:rPr>
          <w:lang w:val="fr-FR"/>
        </w:rPr>
        <w:t xml:space="preserve"> </w:t>
      </w:r>
      <w:r w:rsidRPr="009469BA">
        <w:rPr>
          <w:i/>
          <w:lang w:val="fr-FR"/>
        </w:rPr>
        <w:t>Information et documentation — Systèmes de gestion des documents d'activité — Exigences</w:t>
      </w:r>
      <w:r>
        <w:rPr>
          <w:lang w:val="fr-FR"/>
        </w:rPr>
        <w:t>. 2</w:t>
      </w:r>
      <w:r w:rsidRPr="009469BA">
        <w:rPr>
          <w:vertAlign w:val="superscript"/>
          <w:lang w:val="fr-FR"/>
        </w:rPr>
        <w:t>e</w:t>
      </w:r>
      <w:r>
        <w:rPr>
          <w:lang w:val="fr-FR"/>
        </w:rPr>
        <w:t xml:space="preserve"> éd. </w:t>
      </w:r>
      <w:r w:rsidRPr="009469BA">
        <w:rPr>
          <w:lang w:val="fr-FR"/>
        </w:rPr>
        <w:t xml:space="preserve">Genève : ISO, </w:t>
      </w:r>
      <w:r>
        <w:rPr>
          <w:lang w:val="fr-FR"/>
        </w:rPr>
        <w:t>février 2019</w:t>
      </w:r>
      <w:r w:rsidRPr="009469BA">
        <w:rPr>
          <w:lang w:val="fr-FR"/>
        </w:rPr>
        <w:t xml:space="preserve">. ISO </w:t>
      </w:r>
      <w:r>
        <w:rPr>
          <w:lang w:val="fr-FR"/>
        </w:rPr>
        <w:t>30301</w:t>
      </w:r>
    </w:p>
    <w:p w14:paraId="1208A15B" w14:textId="67DF8342" w:rsidR="009469BA" w:rsidRDefault="009469BA" w:rsidP="006B04EA">
      <w:pPr>
        <w:pStyle w:val="Bibliographie1"/>
        <w:rPr>
          <w:lang w:val="fr-FR"/>
        </w:rPr>
      </w:pPr>
      <w:r w:rsidRPr="009469BA">
        <w:rPr>
          <w:lang w:val="fr-FR"/>
        </w:rPr>
        <w:t>ORGANISATION INTERNATIONALE DE NORMALISATION, 20</w:t>
      </w:r>
      <w:r>
        <w:rPr>
          <w:lang w:val="fr-FR"/>
        </w:rPr>
        <w:t>22</w:t>
      </w:r>
      <w:r w:rsidRPr="009469BA">
        <w:rPr>
          <w:lang w:val="fr-FR"/>
        </w:rPr>
        <w:t>.</w:t>
      </w:r>
      <w:r>
        <w:rPr>
          <w:lang w:val="fr-FR"/>
        </w:rPr>
        <w:t xml:space="preserve"> </w:t>
      </w:r>
      <w:r w:rsidRPr="009469BA">
        <w:rPr>
          <w:i/>
          <w:lang w:val="fr-FR"/>
        </w:rPr>
        <w:t>Information et documentation — Gouvernance de l’information — Concept et principes</w:t>
      </w:r>
      <w:r>
        <w:rPr>
          <w:lang w:val="fr-FR"/>
        </w:rPr>
        <w:t xml:space="preserve">. </w:t>
      </w:r>
      <w:r w:rsidRPr="009469BA">
        <w:rPr>
          <w:lang w:val="fr-FR"/>
        </w:rPr>
        <w:t xml:space="preserve">Genève : ISO, </w:t>
      </w:r>
      <w:r>
        <w:rPr>
          <w:lang w:val="fr-FR"/>
        </w:rPr>
        <w:t>mai</w:t>
      </w:r>
      <w:r w:rsidRPr="009469BA">
        <w:rPr>
          <w:lang w:val="fr-FR"/>
        </w:rPr>
        <w:t xml:space="preserve"> 20</w:t>
      </w:r>
      <w:r>
        <w:rPr>
          <w:lang w:val="fr-FR"/>
        </w:rPr>
        <w:t>22</w:t>
      </w:r>
      <w:r w:rsidRPr="009469BA">
        <w:rPr>
          <w:lang w:val="fr-FR"/>
        </w:rPr>
        <w:t>. ISO/</w:t>
      </w:r>
      <w:r>
        <w:rPr>
          <w:lang w:val="fr-FR"/>
        </w:rPr>
        <w:t>DIS</w:t>
      </w:r>
      <w:r w:rsidRPr="009469BA">
        <w:rPr>
          <w:lang w:val="fr-FR"/>
        </w:rPr>
        <w:t xml:space="preserve"> 2</w:t>
      </w:r>
      <w:r>
        <w:rPr>
          <w:lang w:val="fr-FR"/>
        </w:rPr>
        <w:t>4143</w:t>
      </w:r>
    </w:p>
    <w:p w14:paraId="19AAF40E" w14:textId="44C4E753" w:rsidR="00796FA4" w:rsidRDefault="00796FA4" w:rsidP="00796FA4">
      <w:pPr>
        <w:pStyle w:val="Bibliographie1"/>
      </w:pPr>
      <w:r>
        <w:t>PERREIN, Jean-Pascal, 2010. Gestion de l’information : Comme</w:t>
      </w:r>
      <w:r w:rsidR="006B04EA">
        <w:t>nt définir le terme Information </w:t>
      </w:r>
      <w:r>
        <w:t xml:space="preserve">?. </w:t>
      </w:r>
      <w:r w:rsidRPr="001408EA">
        <w:rPr>
          <w:i/>
        </w:rPr>
        <w:t>3org – Points de vue sur le flux Information</w:t>
      </w:r>
      <w:r>
        <w:t xml:space="preserve"> [en ligne]. 29 octobre 2010. [Consulté le 28 septembre 2021]. Disponible à l’adresse :</w:t>
      </w:r>
    </w:p>
    <w:p w14:paraId="4E618F95" w14:textId="77777777" w:rsidR="00796FA4" w:rsidRDefault="00042E66" w:rsidP="00796FA4">
      <w:pPr>
        <w:pStyle w:val="BibliographieURL"/>
      </w:pPr>
      <w:hyperlink r:id="rId62" w:history="1">
        <w:r w:rsidR="00796FA4" w:rsidRPr="00025456">
          <w:rPr>
            <w:rStyle w:val="Lienhypertexte"/>
          </w:rPr>
          <w:t>http://www.3org.com/news/gouvernance_de_linformation/gestion-de-linformation-comment-definir-le-terme-information/</w:t>
        </w:r>
      </w:hyperlink>
    </w:p>
    <w:p w14:paraId="0FCE2072" w14:textId="77777777" w:rsidR="00796FA4" w:rsidRDefault="00796FA4" w:rsidP="00796FA4">
      <w:pPr>
        <w:pStyle w:val="Bibliographie1"/>
      </w:pPr>
      <w:r>
        <w:t xml:space="preserve">PERREIN, Jean-Pascal, 2011a. Définition de la gouvernance de l’information. </w:t>
      </w:r>
      <w:r w:rsidRPr="001408EA">
        <w:rPr>
          <w:i/>
        </w:rPr>
        <w:t>3org – Points de vue sur le flux Information</w:t>
      </w:r>
      <w:r>
        <w:t xml:space="preserve"> [en ligne]. 11 janvier 2011. [Consulté le 28 septembre 2021]. Disponible à l’adresse : </w:t>
      </w:r>
      <w:hyperlink r:id="rId63" w:history="1">
        <w:r w:rsidRPr="00A842E8">
          <w:rPr>
            <w:rStyle w:val="Lienhypertexte"/>
          </w:rPr>
          <w:t>http://www.3org.com/news/gouvernance_de_linformation/definition-de-la-gouvernance-de-linformation/</w:t>
        </w:r>
      </w:hyperlink>
    </w:p>
    <w:p w14:paraId="71BF7CAB" w14:textId="77777777" w:rsidR="00796FA4" w:rsidRDefault="00796FA4" w:rsidP="00796FA4">
      <w:pPr>
        <w:pStyle w:val="Bibliographie1"/>
      </w:pPr>
      <w:r>
        <w:t xml:space="preserve">PERREIN, Jean-Pascal, 2011b. Sexy RSE, attention aux fondamentaux ! </w:t>
      </w:r>
      <w:r w:rsidRPr="001408EA">
        <w:rPr>
          <w:i/>
        </w:rPr>
        <w:t>3org – Points de vue sur le flux Information</w:t>
      </w:r>
      <w:r>
        <w:t xml:space="preserve"> [en ligne]. 20 juin 2011. [Consulté le 28 septembre 2021]. Disponible à l’adresse : </w:t>
      </w:r>
      <w:hyperlink r:id="rId64" w:history="1">
        <w:r w:rsidRPr="004E0746">
          <w:rPr>
            <w:rStyle w:val="Lienhypertexte"/>
          </w:rPr>
          <w:t>http://www.3org.com/news/culture_et_usages/rse-rso-nm-sexy-mais-attention-aux-fondamentaux/</w:t>
        </w:r>
      </w:hyperlink>
    </w:p>
    <w:p w14:paraId="57BF39BD" w14:textId="77777777" w:rsidR="006B04EA" w:rsidRPr="00935EC6" w:rsidRDefault="006B04EA" w:rsidP="006B04EA">
      <w:pPr>
        <w:pStyle w:val="Bibliographie1"/>
      </w:pPr>
      <w:r w:rsidRPr="00935EC6">
        <w:lastRenderedPageBreak/>
        <w:t xml:space="preserve">PERREIN, Jean-Pascal, 2013. Définition de la gouvernance de l’information par des mots : Extrait du livre GouvInfo “Océan bleu”. </w:t>
      </w:r>
      <w:r w:rsidRPr="00935EC6">
        <w:rPr>
          <w:i/>
        </w:rPr>
        <w:t>3org – Points de vue sur le flux Information</w:t>
      </w:r>
      <w:r w:rsidRPr="00935EC6">
        <w:t xml:space="preserve"> [en ligne]. 2 avril 2013. [Consulté le 14 octobre 2021]. Disponible à l’adresse :</w:t>
      </w:r>
    </w:p>
    <w:p w14:paraId="5E16F055" w14:textId="77777777" w:rsidR="006B04EA" w:rsidRPr="00935EC6" w:rsidRDefault="00042E66" w:rsidP="006B04EA">
      <w:pPr>
        <w:rPr>
          <w:lang w:val="fr-CH"/>
        </w:rPr>
      </w:pPr>
      <w:hyperlink r:id="rId65" w:history="1">
        <w:r w:rsidR="006B04EA" w:rsidRPr="00935EC6">
          <w:rPr>
            <w:rStyle w:val="Lienhypertexte"/>
            <w:lang w:val="fr-CH"/>
          </w:rPr>
          <w:t>http://www.3org.com/news/gouvernance_de_linformation/definition-de-la-gouvernance-de-linformation-par-des-mots-extrait-du-livre-gouvinfo-ocean-bleu/</w:t>
        </w:r>
      </w:hyperlink>
    </w:p>
    <w:p w14:paraId="10D4AF6C" w14:textId="77777777" w:rsidR="006B04EA" w:rsidRPr="0060056F" w:rsidRDefault="006B04EA" w:rsidP="006B04EA">
      <w:pPr>
        <w:pStyle w:val="Bibliographie1"/>
      </w:pPr>
      <w:r w:rsidRPr="0060056F">
        <w:t xml:space="preserve">QUÉBEC (PROVINCE), SOUS-SECRÉTARIAT DU DIRIGEANT PRINCIPAL DE L’INFORMATION, Québec (Province), CONSEIL DU TRÉSOR, SECRÉTARIAT et DIRECTION DES COMMUNICATIONS, 2016. Guide de catégorisation de l’information. [en ligne]. [Consulté le 30 septembre 2021]. ISBN 978-2-550-71120-9. Disponible à l’adresse : </w:t>
      </w:r>
      <w:hyperlink r:id="rId66" w:history="1">
        <w:r w:rsidRPr="0060056F">
          <w:rPr>
            <w:rStyle w:val="Lienhypertexte"/>
            <w:lang w:val="fr-FR"/>
          </w:rPr>
          <w:t>http://collections.banq.qc.ca/ark:/52327/2959773</w:t>
        </w:r>
      </w:hyperlink>
    </w:p>
    <w:p w14:paraId="5A1EA25B" w14:textId="77777777" w:rsidR="00796FA4" w:rsidRDefault="00796FA4" w:rsidP="00796FA4">
      <w:pPr>
        <w:pStyle w:val="Bibliographie1"/>
      </w:pPr>
      <w:r w:rsidRPr="00B9429D">
        <w:t>Révolution numérique</w:t>
      </w:r>
      <w:r w:rsidRPr="00B9429D">
        <w:rPr>
          <w:i/>
        </w:rPr>
        <w:t>. Wikipédia : l'encyclopédie libre</w:t>
      </w:r>
      <w:r w:rsidRPr="00B9429D">
        <w:t xml:space="preserve"> [en ligne]. Dernière modification de la page</w:t>
      </w:r>
      <w:r>
        <w:t> </w:t>
      </w:r>
      <w:r w:rsidRPr="00B9429D">
        <w:t xml:space="preserve">: </w:t>
      </w:r>
      <w:r w:rsidRPr="001C4F17">
        <w:t>11 octobre 2021 à 17:48</w:t>
      </w:r>
      <w:r w:rsidRPr="00B9429D">
        <w:t xml:space="preserve">. [Consulté le </w:t>
      </w:r>
      <w:r>
        <w:t>14 octo</w:t>
      </w:r>
      <w:r w:rsidRPr="00B9429D">
        <w:t>bre 20</w:t>
      </w:r>
      <w:r>
        <w:t>21</w:t>
      </w:r>
      <w:r w:rsidRPr="00B9429D">
        <w:t>]. Disponible à l'adresse</w:t>
      </w:r>
      <w:r>
        <w:t> </w:t>
      </w:r>
      <w:r w:rsidRPr="00B9429D">
        <w:t xml:space="preserve">: </w:t>
      </w:r>
      <w:hyperlink r:id="rId67" w:history="1">
        <w:r w:rsidRPr="00C44B72">
          <w:rPr>
            <w:rStyle w:val="Lienhypertexte"/>
          </w:rPr>
          <w:t>https://fr.wikipedia.org/w/index.php?title=R%C3%A9volution_num%C3%A9rique&amp;oldid=187069229</w:t>
        </w:r>
      </w:hyperlink>
    </w:p>
    <w:p w14:paraId="34247645" w14:textId="77777777" w:rsidR="006B04EA" w:rsidRPr="00042E66" w:rsidRDefault="006B04EA" w:rsidP="006B04EA">
      <w:pPr>
        <w:pStyle w:val="Bibliographie1"/>
        <w:rPr>
          <w:lang w:val="en-CA"/>
        </w:rPr>
      </w:pPr>
      <w:r w:rsidRPr="006D7B20">
        <w:rPr>
          <w:lang w:val="en-CA"/>
        </w:rPr>
        <w:t xml:space="preserve">SAFFADY, William, 2020. </w:t>
      </w:r>
      <w:r w:rsidRPr="006D7B20">
        <w:rPr>
          <w:i/>
          <w:iCs/>
          <w:lang w:val="en-CA"/>
        </w:rPr>
        <w:t>Managing information risks: threats, vulnerabilities, and responses</w:t>
      </w:r>
      <w:r w:rsidRPr="006D7B20">
        <w:rPr>
          <w:lang w:val="en-CA"/>
        </w:rPr>
        <w:t xml:space="preserve">. </w:t>
      </w:r>
      <w:r w:rsidRPr="00042E66">
        <w:rPr>
          <w:lang w:val="en-CA"/>
        </w:rPr>
        <w:t>Lanham : Rowman &amp; Littlefield. ISBN 978-1-5381-3548-8.</w:t>
      </w:r>
    </w:p>
    <w:p w14:paraId="2380DD54" w14:textId="77777777" w:rsidR="00796FA4" w:rsidRDefault="00796FA4" w:rsidP="00796FA4">
      <w:pPr>
        <w:pStyle w:val="Bibliographie1"/>
      </w:pPr>
      <w:r w:rsidRPr="006D7B20">
        <w:rPr>
          <w:lang w:val="en-CA"/>
        </w:rPr>
        <w:t xml:space="preserve">SMALWOOD, Robert, 2014a. Defining the Differences Between Information Governance, IT Governance, &amp; Data Governance. </w:t>
      </w:r>
      <w:r w:rsidRPr="006D7B20">
        <w:rPr>
          <w:i/>
          <w:lang w:val="en-CA"/>
        </w:rPr>
        <w:t>aiim community</w:t>
      </w:r>
      <w:r w:rsidRPr="006D7B20">
        <w:rPr>
          <w:lang w:val="en-CA"/>
        </w:rPr>
        <w:t xml:space="preserve"> [en ligne]. </w:t>
      </w:r>
      <w:r>
        <w:t xml:space="preserve">18 août 2014. [Consulté le 28 septembre 2021]. Disponible à l’adresse : </w:t>
      </w:r>
      <w:hyperlink r:id="rId68" w:history="1">
        <w:r w:rsidRPr="004E0746">
          <w:rPr>
            <w:rStyle w:val="Lienhypertexte"/>
          </w:rPr>
          <w:t>http://community.aiim.org/blogs/robert-smallwood/2014/08/18/defining-the-differences-between-information-governance-it-governance--data-governance</w:t>
        </w:r>
      </w:hyperlink>
    </w:p>
    <w:p w14:paraId="21B79A09" w14:textId="77777777" w:rsidR="00796FA4" w:rsidRPr="006D7B20" w:rsidRDefault="00796FA4" w:rsidP="00796FA4">
      <w:pPr>
        <w:pStyle w:val="Bibliographie1"/>
        <w:rPr>
          <w:lang w:val="en-CA"/>
        </w:rPr>
      </w:pPr>
      <w:r w:rsidRPr="006D7B20">
        <w:rPr>
          <w:lang w:val="en-CA"/>
        </w:rPr>
        <w:t xml:space="preserve">SMALLWOOD, Robert F., 2014b. </w:t>
      </w:r>
      <w:r w:rsidRPr="006D7B20">
        <w:rPr>
          <w:i/>
          <w:lang w:val="en-CA"/>
        </w:rPr>
        <w:t>Information governance: concepts, strategies and best practices</w:t>
      </w:r>
      <w:r w:rsidRPr="006D7B20">
        <w:rPr>
          <w:lang w:val="en-CA"/>
        </w:rPr>
        <w:t>. Hoboken : Wiley. Wiley CIO series. ISBN 9781118218303.</w:t>
      </w:r>
    </w:p>
    <w:p w14:paraId="75D95E06" w14:textId="6D313F2A" w:rsidR="00796FA4" w:rsidRDefault="00796FA4" w:rsidP="00253E78">
      <w:pPr>
        <w:pStyle w:val="Bibliographie1"/>
      </w:pPr>
      <w:r w:rsidRPr="006D7B20">
        <w:rPr>
          <w:lang w:val="en-CA"/>
        </w:rPr>
        <w:t xml:space="preserve">SOCIETY OF AMERICAN ARCHIVISTS, [s. d.]. Information management. </w:t>
      </w:r>
      <w:r w:rsidRPr="006D7B20">
        <w:rPr>
          <w:i/>
          <w:lang w:val="en-CA"/>
        </w:rPr>
        <w:t xml:space="preserve">Dictionary of Archives Terminology </w:t>
      </w:r>
      <w:r w:rsidRPr="006D7B20">
        <w:rPr>
          <w:lang w:val="en-CA"/>
        </w:rPr>
        <w:t xml:space="preserve">[en ligne]. Society of American Archivist, 2005-2021. </w:t>
      </w:r>
      <w:r w:rsidRPr="00243DF0">
        <w:t>[Consulté le 19 octobre 2021]. Disponible à l’adresse :</w:t>
      </w:r>
      <w:r w:rsidR="00253E78">
        <w:t xml:space="preserve"> </w:t>
      </w:r>
      <w:hyperlink r:id="rId69" w:history="1">
        <w:r w:rsidRPr="00243DF0">
          <w:rPr>
            <w:rStyle w:val="Lienhypertexte"/>
          </w:rPr>
          <w:t>https://www2.archivists.org/glossary/terms/i/information-management</w:t>
        </w:r>
      </w:hyperlink>
    </w:p>
    <w:p w14:paraId="2EF8FD9F" w14:textId="77777777" w:rsidR="00796FA4" w:rsidRDefault="00796FA4" w:rsidP="00796FA4">
      <w:pPr>
        <w:pStyle w:val="Bibliographie1"/>
      </w:pPr>
      <w:r w:rsidRPr="005961DA">
        <w:t>TEXIER, Bruno, 20</w:t>
      </w:r>
      <w:r>
        <w:t>20</w:t>
      </w:r>
      <w:r w:rsidRPr="005961DA">
        <w:t>. Service public</w:t>
      </w:r>
      <w:r>
        <w:t> </w:t>
      </w:r>
      <w:r w:rsidRPr="005961DA">
        <w:t xml:space="preserve">: vers le 100 % dématérialisé. </w:t>
      </w:r>
      <w:r w:rsidRPr="005961DA">
        <w:rPr>
          <w:i/>
        </w:rPr>
        <w:t>Archimag</w:t>
      </w:r>
      <w:r w:rsidRPr="005961DA">
        <w:t xml:space="preserve"> [en ligne]. 6 septembre 2019.</w:t>
      </w:r>
      <w:r>
        <w:t xml:space="preserve"> Mis à jour le 13 février 2020.</w:t>
      </w:r>
      <w:r w:rsidRPr="005961DA">
        <w:t xml:space="preserve"> [Consulté le 2</w:t>
      </w:r>
      <w:r>
        <w:t>8</w:t>
      </w:r>
      <w:r w:rsidRPr="005961DA">
        <w:t xml:space="preserve"> septembre 20</w:t>
      </w:r>
      <w:r>
        <w:t>21</w:t>
      </w:r>
      <w:r w:rsidRPr="005961DA">
        <w:t xml:space="preserve">]. Disponible à l'adresse: </w:t>
      </w:r>
      <w:hyperlink r:id="rId70" w:history="1">
        <w:r w:rsidRPr="004752B9">
          <w:rPr>
            <w:rStyle w:val="Lienhypertexte"/>
          </w:rPr>
          <w:t>https://www.archimag.com/demat-cloud/2019/09/06/service-public-dematerialise-action-publique-2022</w:t>
        </w:r>
      </w:hyperlink>
    </w:p>
    <w:p w14:paraId="212696E7" w14:textId="4302CD4E" w:rsidR="00796FA4" w:rsidRDefault="00796FA4" w:rsidP="00796FA4">
      <w:pPr>
        <w:pStyle w:val="Bibliographie1"/>
      </w:pPr>
      <w:r w:rsidRPr="00B5229B">
        <w:t xml:space="preserve">VISIATIV INDUSTRY, [s.d.]. La transformation numérique dans l’industrie. </w:t>
      </w:r>
      <w:r w:rsidRPr="00B5229B">
        <w:rPr>
          <w:i/>
        </w:rPr>
        <w:t>visiativ-industry.ch</w:t>
      </w:r>
      <w:r w:rsidRPr="00B5229B">
        <w:t xml:space="preserve"> [en ligne]. [Consulté le </w:t>
      </w:r>
      <w:r w:rsidR="00253E78">
        <w:t>8 juin</w:t>
      </w:r>
      <w:r w:rsidRPr="00B5229B">
        <w:t xml:space="preserve"> 20</w:t>
      </w:r>
      <w:r>
        <w:t>2</w:t>
      </w:r>
      <w:r w:rsidR="00253E78">
        <w:t>2</w:t>
      </w:r>
      <w:r w:rsidRPr="00B5229B">
        <w:t xml:space="preserve">]. Disponible à l'adresse: </w:t>
      </w:r>
      <w:hyperlink r:id="rId71" w:history="1">
        <w:r w:rsidRPr="00C42141">
          <w:rPr>
            <w:rStyle w:val="Lienhypertexte"/>
          </w:rPr>
          <w:t>https://www.visiativ-industry.ch/transformation-numerique-industrie/</w:t>
        </w:r>
      </w:hyperlink>
    </w:p>
    <w:p w14:paraId="17BCB957" w14:textId="77777777" w:rsidR="006B04EA" w:rsidRPr="0060056F" w:rsidRDefault="006B04EA" w:rsidP="006B04EA">
      <w:pPr>
        <w:pStyle w:val="Bibliographie1"/>
      </w:pPr>
      <w:r w:rsidRPr="0060056F">
        <w:rPr>
          <w:lang w:val="en-GB"/>
        </w:rPr>
        <w:t xml:space="preserve">ZAFRIN, Waren, 2018. Why organizations need an information assets register. </w:t>
      </w:r>
      <w:r w:rsidRPr="0060056F">
        <w:rPr>
          <w:i/>
        </w:rPr>
        <w:t xml:space="preserve">Corporate compliance insights </w:t>
      </w:r>
      <w:r w:rsidRPr="0060056F">
        <w:t>[en ligne]. 11 avril 2018. [Consulté le 5 octobre 2021]</w:t>
      </w:r>
      <w:r w:rsidRPr="0060056F">
        <w:rPr>
          <w:i/>
        </w:rPr>
        <w:t xml:space="preserve">. </w:t>
      </w:r>
      <w:r w:rsidRPr="0060056F">
        <w:t xml:space="preserve">Disponible à l’adresse : </w:t>
      </w:r>
      <w:hyperlink r:id="rId72" w:tooltip="https://www.corporatecomplianceinsights.com/organizations-need-information-asset-register/" w:history="1">
        <w:r w:rsidRPr="0060056F">
          <w:rPr>
            <w:rStyle w:val="Lienhypertexte"/>
            <w:lang w:val="fr-FR"/>
          </w:rPr>
          <w:t>https://www.corporatecomplianceinsights.com/organizations-need-information-asset-register/</w:t>
        </w:r>
      </w:hyperlink>
    </w:p>
    <w:sectPr w:rsidR="006B04EA" w:rsidRPr="0060056F" w:rsidSect="00263299">
      <w:headerReference w:type="even" r:id="rId73"/>
      <w:headerReference w:type="default" r:id="rId74"/>
      <w:footerReference w:type="even" r:id="rId75"/>
      <w:footerReference w:type="default" r:id="rId76"/>
      <w:headerReference w:type="first" r:id="rId77"/>
      <w:footerReference w:type="first" r:id="rId78"/>
      <w:endnotePr>
        <w:numFmt w:val="decimal"/>
      </w:endnotePr>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E61A9" w14:textId="77777777" w:rsidR="00A71116" w:rsidRDefault="00A71116" w:rsidP="008C2C8C">
      <w:r>
        <w:separator/>
      </w:r>
    </w:p>
  </w:endnote>
  <w:endnote w:type="continuationSeparator" w:id="0">
    <w:p w14:paraId="5DFDCDBC" w14:textId="77777777" w:rsidR="00A71116" w:rsidRDefault="00A71116" w:rsidP="008C2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7D7C8" w14:textId="77777777" w:rsidR="006D7B20" w:rsidRDefault="006D7B2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54E9" w14:textId="77777777" w:rsidR="0060056F" w:rsidRDefault="0060056F" w:rsidP="00646680">
    <w:pPr>
      <w:pStyle w:val="Pieddepage"/>
    </w:pPr>
  </w:p>
  <w:p w14:paraId="15383408" w14:textId="37A29D80" w:rsidR="0060056F" w:rsidRPr="00B36C33" w:rsidRDefault="0060056F" w:rsidP="00646680">
    <w:pPr>
      <w:pStyle w:val="Pieddepage"/>
      <w:jc w:val="center"/>
      <w:rPr>
        <w:rFonts w:cs="Arial"/>
      </w:rPr>
    </w:pPr>
    <w:r>
      <w:rPr>
        <w:rFonts w:cs="Arial"/>
      </w:rPr>
      <w:t>Synthèse V 08.06.2022</w:t>
    </w:r>
    <w:r w:rsidRPr="00B36C33">
      <w:rPr>
        <w:rFonts w:cs="Arial"/>
      </w:rPr>
      <w:tab/>
    </w:r>
    <w:r w:rsidRPr="00B36C33">
      <w:rPr>
        <w:rFonts w:cs="Arial"/>
      </w:rPr>
      <w:tab/>
    </w:r>
    <w:r w:rsidRPr="00B36C33">
      <w:rPr>
        <w:rFonts w:cs="Arial"/>
      </w:rPr>
      <w:fldChar w:fldCharType="begin"/>
    </w:r>
    <w:r w:rsidRPr="00B36C33">
      <w:rPr>
        <w:rFonts w:cs="Arial"/>
      </w:rPr>
      <w:instrText>PAGE   \* MERGEFORMAT</w:instrText>
    </w:r>
    <w:r w:rsidRPr="00B36C33">
      <w:rPr>
        <w:rFonts w:cs="Arial"/>
      </w:rPr>
      <w:fldChar w:fldCharType="separate"/>
    </w:r>
    <w:r w:rsidR="00253E78">
      <w:rPr>
        <w:rFonts w:cs="Arial"/>
        <w:noProof/>
      </w:rPr>
      <w:t>25</w:t>
    </w:r>
    <w:r w:rsidRPr="00B36C33">
      <w:rPr>
        <w:rFonts w:cs="Arial"/>
      </w:rPr>
      <w:fldChar w:fldCharType="end"/>
    </w:r>
  </w:p>
  <w:p w14:paraId="2830D207" w14:textId="77777777" w:rsidR="0060056F" w:rsidRDefault="006005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FF90D" w14:textId="77777777" w:rsidR="006D7B20" w:rsidRDefault="006D7B2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12507" w14:textId="77777777" w:rsidR="00A71116" w:rsidRDefault="00A71116" w:rsidP="008C2C8C">
      <w:r>
        <w:separator/>
      </w:r>
    </w:p>
  </w:footnote>
  <w:footnote w:type="continuationSeparator" w:id="0">
    <w:p w14:paraId="09A8045E" w14:textId="77777777" w:rsidR="00A71116" w:rsidRDefault="00A71116" w:rsidP="008C2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7E67" w14:textId="77777777" w:rsidR="006D7B20" w:rsidRDefault="006D7B2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AA3C1" w14:textId="0091CCEC" w:rsidR="0060056F" w:rsidRDefault="0060056F">
    <w:pPr>
      <w:pStyle w:val="En-tte"/>
      <w:rPr>
        <w:rFonts w:cs="Arial"/>
      </w:rPr>
    </w:pPr>
    <w:r>
      <w:rPr>
        <w:rFonts w:cs="Arial"/>
        <w:noProof/>
        <w:lang w:val="fr-CH" w:eastAsia="fr-CH"/>
      </w:rPr>
      <w:drawing>
        <wp:inline distT="0" distB="0" distL="0" distR="0" wp14:anchorId="746BB445" wp14:editId="2418BF90">
          <wp:extent cx="2324100" cy="457200"/>
          <wp:effectExtent l="0" t="0" r="0" b="0"/>
          <wp:docPr id="4" name="Image 4" descr="Description : Entete HEG In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 Entete HEG Inter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457200"/>
                  </a:xfrm>
                  <a:prstGeom prst="rect">
                    <a:avLst/>
                  </a:prstGeom>
                  <a:noFill/>
                  <a:ln>
                    <a:noFill/>
                  </a:ln>
                </pic:spPr>
              </pic:pic>
            </a:graphicData>
          </a:graphic>
        </wp:inline>
      </w:drawing>
    </w:r>
    <w:r w:rsidRPr="00A07DA6">
      <w:rPr>
        <w:rFonts w:cs="Arial"/>
      </w:rPr>
      <w:tab/>
    </w:r>
    <w:r w:rsidRPr="00A07DA6">
      <w:rPr>
        <w:rFonts w:cs="Arial"/>
      </w:rPr>
      <w:tab/>
      <w:t>B</w:t>
    </w:r>
    <w:r w:rsidR="006D7B20">
      <w:rPr>
        <w:rFonts w:cs="Arial"/>
      </w:rPr>
      <w:t xml:space="preserve">asma </w:t>
    </w:r>
    <w:r w:rsidRPr="00A07DA6">
      <w:rPr>
        <w:rFonts w:cs="Arial"/>
      </w:rPr>
      <w:t>M</w:t>
    </w:r>
    <w:r w:rsidR="006D7B20">
      <w:rPr>
        <w:rFonts w:cs="Arial"/>
      </w:rPr>
      <w:t xml:space="preserve">akhlouf </w:t>
    </w:r>
    <w:r w:rsidRPr="00A07DA6">
      <w:rPr>
        <w:rFonts w:cs="Arial"/>
      </w:rPr>
      <w:t>S</w:t>
    </w:r>
    <w:r w:rsidR="006D7B20">
      <w:rPr>
        <w:rFonts w:cs="Arial"/>
      </w:rPr>
      <w:t>habou</w:t>
    </w:r>
    <w:r w:rsidRPr="00A07DA6">
      <w:rPr>
        <w:rFonts w:cs="Arial"/>
      </w:rPr>
      <w:t xml:space="preserve"> </w:t>
    </w:r>
    <w:r>
      <w:rPr>
        <w:rFonts w:cs="Arial"/>
      </w:rPr>
      <w:t>2022</w:t>
    </w:r>
  </w:p>
  <w:p w14:paraId="746F2FAE" w14:textId="5282DA67" w:rsidR="006D7B20" w:rsidRPr="00A07DA6" w:rsidRDefault="006D7B20">
    <w:pPr>
      <w:pStyle w:val="En-tte"/>
      <w:rPr>
        <w:rFonts w:cs="Arial"/>
      </w:rPr>
    </w:pPr>
    <w:r>
      <w:rPr>
        <w:rFonts w:cs="Arial"/>
      </w:rPr>
      <w:t>Ecole d’été Rabat_ 11 juin2022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0702A" w14:textId="77777777" w:rsidR="006D7B20" w:rsidRDefault="006D7B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473B"/>
    <w:multiLevelType w:val="hybridMultilevel"/>
    <w:tmpl w:val="B71C60C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730651E"/>
    <w:multiLevelType w:val="hybridMultilevel"/>
    <w:tmpl w:val="DC2E6952"/>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9DB5207"/>
    <w:multiLevelType w:val="hybridMultilevel"/>
    <w:tmpl w:val="214E2ACE"/>
    <w:lvl w:ilvl="0" w:tplc="100C000F">
      <w:start w:val="1"/>
      <w:numFmt w:val="decimal"/>
      <w:lvlText w:val="%1."/>
      <w:lvlJc w:val="left"/>
      <w:pPr>
        <w:ind w:left="720" w:hanging="360"/>
      </w:pPr>
    </w:lvl>
    <w:lvl w:ilvl="1" w:tplc="100C0001">
      <w:start w:val="1"/>
      <w:numFmt w:val="bullet"/>
      <w:lvlText w:val=""/>
      <w:lvlJc w:val="left"/>
      <w:pPr>
        <w:ind w:left="1440" w:hanging="360"/>
      </w:pPr>
      <w:rPr>
        <w:rFonts w:ascii="Symbol" w:hAnsi="Symbol"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0D715DCE"/>
    <w:multiLevelType w:val="hybridMultilevel"/>
    <w:tmpl w:val="05BEBFC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0E661054"/>
    <w:multiLevelType w:val="hybridMultilevel"/>
    <w:tmpl w:val="3288FA1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4EC5DA2"/>
    <w:multiLevelType w:val="hybridMultilevel"/>
    <w:tmpl w:val="BF8E2AA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1A530AD1"/>
    <w:multiLevelType w:val="hybridMultilevel"/>
    <w:tmpl w:val="5004074A"/>
    <w:lvl w:ilvl="0" w:tplc="100C000F">
      <w:start w:val="1"/>
      <w:numFmt w:val="decimal"/>
      <w:lvlText w:val="%1."/>
      <w:lvlJc w:val="left"/>
      <w:pPr>
        <w:ind w:left="720" w:hanging="360"/>
      </w:pPr>
      <w:rPr>
        <w:rFont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222351B6"/>
    <w:multiLevelType w:val="hybridMultilevel"/>
    <w:tmpl w:val="0FEE5FA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22F7219B"/>
    <w:multiLevelType w:val="hybridMultilevel"/>
    <w:tmpl w:val="BD2235B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2F8842DB"/>
    <w:multiLevelType w:val="hybridMultilevel"/>
    <w:tmpl w:val="0E5E9BDA"/>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2FD41CDA"/>
    <w:multiLevelType w:val="hybridMultilevel"/>
    <w:tmpl w:val="EC7E3570"/>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33870AE9"/>
    <w:multiLevelType w:val="hybridMultilevel"/>
    <w:tmpl w:val="78AA89D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375D3B9D"/>
    <w:multiLevelType w:val="hybridMultilevel"/>
    <w:tmpl w:val="8E38890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384C6F0E"/>
    <w:multiLevelType w:val="hybridMultilevel"/>
    <w:tmpl w:val="8C202F80"/>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393D203C"/>
    <w:multiLevelType w:val="hybridMultilevel"/>
    <w:tmpl w:val="C3B200CE"/>
    <w:lvl w:ilvl="0" w:tplc="100C000F">
      <w:start w:val="1"/>
      <w:numFmt w:val="decimal"/>
      <w:lvlText w:val="%1."/>
      <w:lvlJc w:val="left"/>
      <w:pPr>
        <w:ind w:left="720" w:hanging="360"/>
      </w:pPr>
    </w:lvl>
    <w:lvl w:ilvl="1" w:tplc="100C0001">
      <w:start w:val="1"/>
      <w:numFmt w:val="bullet"/>
      <w:lvlText w:val=""/>
      <w:lvlJc w:val="left"/>
      <w:pPr>
        <w:ind w:left="1440" w:hanging="360"/>
      </w:pPr>
      <w:rPr>
        <w:rFonts w:ascii="Symbol" w:hAnsi="Symbol"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3946770E"/>
    <w:multiLevelType w:val="hybridMultilevel"/>
    <w:tmpl w:val="6FA8FEF2"/>
    <w:lvl w:ilvl="0" w:tplc="CCC88886">
      <w:start w:val="1"/>
      <w:numFmt w:val="decimal"/>
      <w:lvlText w:val="%1."/>
      <w:lvlJc w:val="left"/>
      <w:pPr>
        <w:ind w:left="720" w:hanging="360"/>
      </w:pPr>
      <w:rPr>
        <w:rFonts w:hint="default"/>
      </w:rPr>
    </w:lvl>
    <w:lvl w:ilvl="1" w:tplc="100C0001">
      <w:start w:val="1"/>
      <w:numFmt w:val="bullet"/>
      <w:lvlText w:val=""/>
      <w:lvlJc w:val="left"/>
      <w:pPr>
        <w:ind w:left="1440" w:hanging="360"/>
      </w:pPr>
      <w:rPr>
        <w:rFonts w:ascii="Symbol" w:hAnsi="Symbol"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3F4F7D6F"/>
    <w:multiLevelType w:val="hybridMultilevel"/>
    <w:tmpl w:val="B3427C6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3F74141B"/>
    <w:multiLevelType w:val="hybridMultilevel"/>
    <w:tmpl w:val="00F87FD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43500723"/>
    <w:multiLevelType w:val="hybridMultilevel"/>
    <w:tmpl w:val="0D446A0E"/>
    <w:lvl w:ilvl="0" w:tplc="CCC88886">
      <w:start w:val="1"/>
      <w:numFmt w:val="decimal"/>
      <w:lvlText w:val="%1."/>
      <w:lvlJc w:val="left"/>
      <w:pPr>
        <w:ind w:left="720" w:hanging="360"/>
      </w:pPr>
      <w:rPr>
        <w:rFonts w:hint="default"/>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48C90D28"/>
    <w:multiLevelType w:val="hybridMultilevel"/>
    <w:tmpl w:val="CBBC65D0"/>
    <w:lvl w:ilvl="0" w:tplc="100C000F">
      <w:start w:val="1"/>
      <w:numFmt w:val="decimal"/>
      <w:lvlText w:val="%1."/>
      <w:lvlJc w:val="left"/>
      <w:pPr>
        <w:ind w:left="720" w:hanging="360"/>
      </w:pPr>
    </w:lvl>
    <w:lvl w:ilvl="1" w:tplc="100C0001">
      <w:start w:val="1"/>
      <w:numFmt w:val="bullet"/>
      <w:lvlText w:val=""/>
      <w:lvlJc w:val="left"/>
      <w:pPr>
        <w:ind w:left="1440" w:hanging="360"/>
      </w:pPr>
      <w:rPr>
        <w:rFonts w:ascii="Symbol" w:hAnsi="Symbol"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49C7149E"/>
    <w:multiLevelType w:val="hybridMultilevel"/>
    <w:tmpl w:val="5EB80E5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4B6366E6"/>
    <w:multiLevelType w:val="hybridMultilevel"/>
    <w:tmpl w:val="CA5EEB18"/>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4D822FFC"/>
    <w:multiLevelType w:val="hybridMultilevel"/>
    <w:tmpl w:val="250EF986"/>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4DCC4821"/>
    <w:multiLevelType w:val="hybridMultilevel"/>
    <w:tmpl w:val="A1F814D6"/>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4" w15:restartNumberingAfterBreak="0">
    <w:nsid w:val="4FD14F16"/>
    <w:multiLevelType w:val="hybridMultilevel"/>
    <w:tmpl w:val="683C43B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52FD6FFF"/>
    <w:multiLevelType w:val="hybridMultilevel"/>
    <w:tmpl w:val="A34C1B52"/>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6" w15:restartNumberingAfterBreak="0">
    <w:nsid w:val="54230AFB"/>
    <w:multiLevelType w:val="hybridMultilevel"/>
    <w:tmpl w:val="FAB8FBBC"/>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7" w15:restartNumberingAfterBreak="0">
    <w:nsid w:val="5BC57154"/>
    <w:multiLevelType w:val="hybridMultilevel"/>
    <w:tmpl w:val="FE78C52E"/>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8" w15:restartNumberingAfterBreak="0">
    <w:nsid w:val="5DB5208F"/>
    <w:multiLevelType w:val="hybridMultilevel"/>
    <w:tmpl w:val="950437CE"/>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63173EFE"/>
    <w:multiLevelType w:val="hybridMultilevel"/>
    <w:tmpl w:val="C11CD63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6C4A19AE"/>
    <w:multiLevelType w:val="hybridMultilevel"/>
    <w:tmpl w:val="AD88C22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1" w15:restartNumberingAfterBreak="0">
    <w:nsid w:val="6E824912"/>
    <w:multiLevelType w:val="hybridMultilevel"/>
    <w:tmpl w:val="D47291C4"/>
    <w:lvl w:ilvl="0" w:tplc="7CD0C288">
      <w:start w:val="1"/>
      <w:numFmt w:val="decimal"/>
      <w:pStyle w:val="Titre1"/>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6EE81450"/>
    <w:multiLevelType w:val="hybridMultilevel"/>
    <w:tmpl w:val="EC923034"/>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3" w15:restartNumberingAfterBreak="0">
    <w:nsid w:val="7A0D0DB4"/>
    <w:multiLevelType w:val="hybridMultilevel"/>
    <w:tmpl w:val="D53035BA"/>
    <w:lvl w:ilvl="0" w:tplc="100C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7ADC1156"/>
    <w:multiLevelType w:val="hybridMultilevel"/>
    <w:tmpl w:val="9064F06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7BFC468F"/>
    <w:multiLevelType w:val="hybridMultilevel"/>
    <w:tmpl w:val="43B8740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6" w15:restartNumberingAfterBreak="0">
    <w:nsid w:val="7C1A565F"/>
    <w:multiLevelType w:val="hybridMultilevel"/>
    <w:tmpl w:val="CE9CD53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7" w15:restartNumberingAfterBreak="0">
    <w:nsid w:val="7DA914F1"/>
    <w:multiLevelType w:val="hybridMultilevel"/>
    <w:tmpl w:val="08FA97F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8" w15:restartNumberingAfterBreak="0">
    <w:nsid w:val="7E240A8E"/>
    <w:multiLevelType w:val="hybridMultilevel"/>
    <w:tmpl w:val="1534C53C"/>
    <w:lvl w:ilvl="0" w:tplc="100C0011">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16cid:durableId="1000088267">
    <w:abstractNumId w:val="31"/>
  </w:num>
  <w:num w:numId="2" w16cid:durableId="139352252">
    <w:abstractNumId w:val="18"/>
  </w:num>
  <w:num w:numId="3" w16cid:durableId="1718361026">
    <w:abstractNumId w:val="15"/>
  </w:num>
  <w:num w:numId="4" w16cid:durableId="466944769">
    <w:abstractNumId w:val="26"/>
  </w:num>
  <w:num w:numId="5" w16cid:durableId="884293498">
    <w:abstractNumId w:val="29"/>
  </w:num>
  <w:num w:numId="6" w16cid:durableId="854072762">
    <w:abstractNumId w:val="4"/>
  </w:num>
  <w:num w:numId="7" w16cid:durableId="614823778">
    <w:abstractNumId w:val="20"/>
  </w:num>
  <w:num w:numId="8" w16cid:durableId="677779962">
    <w:abstractNumId w:val="37"/>
  </w:num>
  <w:num w:numId="9" w16cid:durableId="1883710218">
    <w:abstractNumId w:val="17"/>
  </w:num>
  <w:num w:numId="10" w16cid:durableId="1480733483">
    <w:abstractNumId w:val="21"/>
  </w:num>
  <w:num w:numId="11" w16cid:durableId="418525803">
    <w:abstractNumId w:val="27"/>
  </w:num>
  <w:num w:numId="12" w16cid:durableId="2010936383">
    <w:abstractNumId w:val="5"/>
  </w:num>
  <w:num w:numId="13" w16cid:durableId="71660547">
    <w:abstractNumId w:val="23"/>
  </w:num>
  <w:num w:numId="14" w16cid:durableId="39599287">
    <w:abstractNumId w:val="25"/>
  </w:num>
  <w:num w:numId="15" w16cid:durableId="2083330958">
    <w:abstractNumId w:val="16"/>
  </w:num>
  <w:num w:numId="16" w16cid:durableId="758789380">
    <w:abstractNumId w:val="3"/>
  </w:num>
  <w:num w:numId="17" w16cid:durableId="85735917">
    <w:abstractNumId w:val="34"/>
  </w:num>
  <w:num w:numId="18" w16cid:durableId="198779986">
    <w:abstractNumId w:val="30"/>
  </w:num>
  <w:num w:numId="19" w16cid:durableId="1332218389">
    <w:abstractNumId w:val="22"/>
  </w:num>
  <w:num w:numId="20" w16cid:durableId="19210788">
    <w:abstractNumId w:val="6"/>
  </w:num>
  <w:num w:numId="21" w16cid:durableId="898589881">
    <w:abstractNumId w:val="9"/>
  </w:num>
  <w:num w:numId="22" w16cid:durableId="1606427403">
    <w:abstractNumId w:val="8"/>
  </w:num>
  <w:num w:numId="23" w16cid:durableId="1413044781">
    <w:abstractNumId w:val="11"/>
  </w:num>
  <w:num w:numId="24" w16cid:durableId="1806196285">
    <w:abstractNumId w:val="38"/>
  </w:num>
  <w:num w:numId="25" w16cid:durableId="1582135724">
    <w:abstractNumId w:val="32"/>
  </w:num>
  <w:num w:numId="26" w16cid:durableId="1466124371">
    <w:abstractNumId w:val="28"/>
  </w:num>
  <w:num w:numId="27" w16cid:durableId="822694550">
    <w:abstractNumId w:val="19"/>
  </w:num>
  <w:num w:numId="28" w16cid:durableId="177356495">
    <w:abstractNumId w:val="2"/>
  </w:num>
  <w:num w:numId="29" w16cid:durableId="1047073079">
    <w:abstractNumId w:val="14"/>
  </w:num>
  <w:num w:numId="30" w16cid:durableId="352460982">
    <w:abstractNumId w:val="10"/>
  </w:num>
  <w:num w:numId="31" w16cid:durableId="1283264737">
    <w:abstractNumId w:val="36"/>
  </w:num>
  <w:num w:numId="32" w16cid:durableId="110784927">
    <w:abstractNumId w:val="1"/>
  </w:num>
  <w:num w:numId="33" w16cid:durableId="1808012802">
    <w:abstractNumId w:val="33"/>
  </w:num>
  <w:num w:numId="34" w16cid:durableId="1720471808">
    <w:abstractNumId w:val="13"/>
  </w:num>
  <w:num w:numId="35" w16cid:durableId="1365593191">
    <w:abstractNumId w:val="35"/>
  </w:num>
  <w:num w:numId="36" w16cid:durableId="626542778">
    <w:abstractNumId w:val="12"/>
  </w:num>
  <w:num w:numId="37" w16cid:durableId="194075695">
    <w:abstractNumId w:val="24"/>
  </w:num>
  <w:num w:numId="38" w16cid:durableId="1098987499">
    <w:abstractNumId w:val="0"/>
  </w:num>
  <w:num w:numId="39" w16cid:durableId="1201013783">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efaultTabStop w:val="708"/>
  <w:hyphenationZone w:val="425"/>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C8C"/>
    <w:rsid w:val="000000E3"/>
    <w:rsid w:val="00001132"/>
    <w:rsid w:val="000029E3"/>
    <w:rsid w:val="00003B4D"/>
    <w:rsid w:val="00004E58"/>
    <w:rsid w:val="000069EB"/>
    <w:rsid w:val="000079E1"/>
    <w:rsid w:val="00010A42"/>
    <w:rsid w:val="00010C04"/>
    <w:rsid w:val="00011174"/>
    <w:rsid w:val="00014928"/>
    <w:rsid w:val="0002232E"/>
    <w:rsid w:val="00022D88"/>
    <w:rsid w:val="00025586"/>
    <w:rsid w:val="0002651B"/>
    <w:rsid w:val="00027EDB"/>
    <w:rsid w:val="00036238"/>
    <w:rsid w:val="000406AB"/>
    <w:rsid w:val="00040B71"/>
    <w:rsid w:val="00042186"/>
    <w:rsid w:val="00042725"/>
    <w:rsid w:val="00042E66"/>
    <w:rsid w:val="00042E67"/>
    <w:rsid w:val="00043FD3"/>
    <w:rsid w:val="0004427D"/>
    <w:rsid w:val="0004433C"/>
    <w:rsid w:val="000444E4"/>
    <w:rsid w:val="0004704E"/>
    <w:rsid w:val="00061C17"/>
    <w:rsid w:val="00061DE7"/>
    <w:rsid w:val="000731E9"/>
    <w:rsid w:val="000736DD"/>
    <w:rsid w:val="00074A3D"/>
    <w:rsid w:val="000776F7"/>
    <w:rsid w:val="00077979"/>
    <w:rsid w:val="0007797F"/>
    <w:rsid w:val="00081A86"/>
    <w:rsid w:val="00081CAF"/>
    <w:rsid w:val="000822A9"/>
    <w:rsid w:val="00084150"/>
    <w:rsid w:val="0008459D"/>
    <w:rsid w:val="00084738"/>
    <w:rsid w:val="00087129"/>
    <w:rsid w:val="00087AB3"/>
    <w:rsid w:val="000915E1"/>
    <w:rsid w:val="000930BC"/>
    <w:rsid w:val="00093852"/>
    <w:rsid w:val="00094980"/>
    <w:rsid w:val="00097E18"/>
    <w:rsid w:val="000A38B7"/>
    <w:rsid w:val="000A3922"/>
    <w:rsid w:val="000A6EFB"/>
    <w:rsid w:val="000B1DFD"/>
    <w:rsid w:val="000B53D8"/>
    <w:rsid w:val="000B564C"/>
    <w:rsid w:val="000B5940"/>
    <w:rsid w:val="000B5994"/>
    <w:rsid w:val="000C0C80"/>
    <w:rsid w:val="000C27B5"/>
    <w:rsid w:val="000C2EA9"/>
    <w:rsid w:val="000C5337"/>
    <w:rsid w:val="000C6B23"/>
    <w:rsid w:val="000C74F7"/>
    <w:rsid w:val="000D1C78"/>
    <w:rsid w:val="000D307C"/>
    <w:rsid w:val="000D337F"/>
    <w:rsid w:val="000D3638"/>
    <w:rsid w:val="000D6C09"/>
    <w:rsid w:val="000D72A8"/>
    <w:rsid w:val="000E3C4F"/>
    <w:rsid w:val="000E501E"/>
    <w:rsid w:val="000E5566"/>
    <w:rsid w:val="000F027A"/>
    <w:rsid w:val="000F1391"/>
    <w:rsid w:val="000F54EE"/>
    <w:rsid w:val="000F6261"/>
    <w:rsid w:val="000F76BC"/>
    <w:rsid w:val="0010162E"/>
    <w:rsid w:val="001102FC"/>
    <w:rsid w:val="00121EFE"/>
    <w:rsid w:val="001274AF"/>
    <w:rsid w:val="001275E5"/>
    <w:rsid w:val="00127BC2"/>
    <w:rsid w:val="001339D9"/>
    <w:rsid w:val="0014003D"/>
    <w:rsid w:val="00140364"/>
    <w:rsid w:val="001408EA"/>
    <w:rsid w:val="00142431"/>
    <w:rsid w:val="00143542"/>
    <w:rsid w:val="001441D2"/>
    <w:rsid w:val="001455C7"/>
    <w:rsid w:val="00151FEA"/>
    <w:rsid w:val="00155B28"/>
    <w:rsid w:val="00164EED"/>
    <w:rsid w:val="001661F6"/>
    <w:rsid w:val="001671DB"/>
    <w:rsid w:val="001719FB"/>
    <w:rsid w:val="00176322"/>
    <w:rsid w:val="00180FF1"/>
    <w:rsid w:val="00185F6F"/>
    <w:rsid w:val="001903A0"/>
    <w:rsid w:val="0019247D"/>
    <w:rsid w:val="00194956"/>
    <w:rsid w:val="001957BF"/>
    <w:rsid w:val="00197773"/>
    <w:rsid w:val="001A179C"/>
    <w:rsid w:val="001A31E7"/>
    <w:rsid w:val="001A53D5"/>
    <w:rsid w:val="001A6913"/>
    <w:rsid w:val="001B089B"/>
    <w:rsid w:val="001B17B7"/>
    <w:rsid w:val="001B643D"/>
    <w:rsid w:val="001B7DAE"/>
    <w:rsid w:val="001C1F8F"/>
    <w:rsid w:val="001C61F8"/>
    <w:rsid w:val="001C7F61"/>
    <w:rsid w:val="001D38F4"/>
    <w:rsid w:val="001D4988"/>
    <w:rsid w:val="001D5BDE"/>
    <w:rsid w:val="001E0C72"/>
    <w:rsid w:val="001E3ED6"/>
    <w:rsid w:val="001E5BB1"/>
    <w:rsid w:val="001E72D9"/>
    <w:rsid w:val="001F0BE2"/>
    <w:rsid w:val="001F169C"/>
    <w:rsid w:val="001F2A30"/>
    <w:rsid w:val="001F3802"/>
    <w:rsid w:val="001F39F5"/>
    <w:rsid w:val="001F4B0A"/>
    <w:rsid w:val="001F55FF"/>
    <w:rsid w:val="001F63B9"/>
    <w:rsid w:val="001F7291"/>
    <w:rsid w:val="00203BC7"/>
    <w:rsid w:val="0020684B"/>
    <w:rsid w:val="002073D0"/>
    <w:rsid w:val="00212DBB"/>
    <w:rsid w:val="00214204"/>
    <w:rsid w:val="00216E28"/>
    <w:rsid w:val="002172C0"/>
    <w:rsid w:val="00223110"/>
    <w:rsid w:val="002244DC"/>
    <w:rsid w:val="0023514D"/>
    <w:rsid w:val="002356A9"/>
    <w:rsid w:val="00242D28"/>
    <w:rsid w:val="00243904"/>
    <w:rsid w:val="00244AF2"/>
    <w:rsid w:val="002501C2"/>
    <w:rsid w:val="00252E31"/>
    <w:rsid w:val="00253E78"/>
    <w:rsid w:val="002544FE"/>
    <w:rsid w:val="002566AC"/>
    <w:rsid w:val="00256EBA"/>
    <w:rsid w:val="00263299"/>
    <w:rsid w:val="00266140"/>
    <w:rsid w:val="00276147"/>
    <w:rsid w:val="002805E4"/>
    <w:rsid w:val="00284883"/>
    <w:rsid w:val="002849BF"/>
    <w:rsid w:val="00287B95"/>
    <w:rsid w:val="00292CEF"/>
    <w:rsid w:val="002932E6"/>
    <w:rsid w:val="002939C9"/>
    <w:rsid w:val="00294D4A"/>
    <w:rsid w:val="002976DB"/>
    <w:rsid w:val="002A43FF"/>
    <w:rsid w:val="002A6D3E"/>
    <w:rsid w:val="002B0904"/>
    <w:rsid w:val="002B2F9F"/>
    <w:rsid w:val="002B4931"/>
    <w:rsid w:val="002B5721"/>
    <w:rsid w:val="002B69F3"/>
    <w:rsid w:val="002C1656"/>
    <w:rsid w:val="002C3673"/>
    <w:rsid w:val="002C3D08"/>
    <w:rsid w:val="002C794D"/>
    <w:rsid w:val="002D224C"/>
    <w:rsid w:val="002D22A1"/>
    <w:rsid w:val="002D3929"/>
    <w:rsid w:val="002D5699"/>
    <w:rsid w:val="002D67F3"/>
    <w:rsid w:val="002E0375"/>
    <w:rsid w:val="002E4037"/>
    <w:rsid w:val="002E60DD"/>
    <w:rsid w:val="002F00D7"/>
    <w:rsid w:val="002F2C62"/>
    <w:rsid w:val="002F6948"/>
    <w:rsid w:val="002F6C19"/>
    <w:rsid w:val="003029BD"/>
    <w:rsid w:val="00310782"/>
    <w:rsid w:val="00310E0B"/>
    <w:rsid w:val="00313486"/>
    <w:rsid w:val="00313BC9"/>
    <w:rsid w:val="00313CC0"/>
    <w:rsid w:val="00314F81"/>
    <w:rsid w:val="00316C2F"/>
    <w:rsid w:val="0031762C"/>
    <w:rsid w:val="00317847"/>
    <w:rsid w:val="00322F1F"/>
    <w:rsid w:val="003356E7"/>
    <w:rsid w:val="00336181"/>
    <w:rsid w:val="00336560"/>
    <w:rsid w:val="00341B78"/>
    <w:rsid w:val="003451B4"/>
    <w:rsid w:val="003452E5"/>
    <w:rsid w:val="00350C9E"/>
    <w:rsid w:val="00351E5D"/>
    <w:rsid w:val="0035298B"/>
    <w:rsid w:val="003573B3"/>
    <w:rsid w:val="00361618"/>
    <w:rsid w:val="0037281E"/>
    <w:rsid w:val="00374003"/>
    <w:rsid w:val="00377F48"/>
    <w:rsid w:val="0038227C"/>
    <w:rsid w:val="00384189"/>
    <w:rsid w:val="0038755D"/>
    <w:rsid w:val="0039021A"/>
    <w:rsid w:val="0039190C"/>
    <w:rsid w:val="003926F0"/>
    <w:rsid w:val="00395BED"/>
    <w:rsid w:val="00395CA5"/>
    <w:rsid w:val="003A0252"/>
    <w:rsid w:val="003A2761"/>
    <w:rsid w:val="003A3199"/>
    <w:rsid w:val="003A6C07"/>
    <w:rsid w:val="003B0B39"/>
    <w:rsid w:val="003B2DCB"/>
    <w:rsid w:val="003B5A4F"/>
    <w:rsid w:val="003C0BB4"/>
    <w:rsid w:val="003C261E"/>
    <w:rsid w:val="003C3AC7"/>
    <w:rsid w:val="003C7CDB"/>
    <w:rsid w:val="003D1028"/>
    <w:rsid w:val="003D474F"/>
    <w:rsid w:val="003D4855"/>
    <w:rsid w:val="003E26D4"/>
    <w:rsid w:val="003E47F3"/>
    <w:rsid w:val="003E7167"/>
    <w:rsid w:val="003E7DD1"/>
    <w:rsid w:val="003F0F9A"/>
    <w:rsid w:val="003F170F"/>
    <w:rsid w:val="003F459A"/>
    <w:rsid w:val="003F7EAC"/>
    <w:rsid w:val="004019E1"/>
    <w:rsid w:val="00402C0D"/>
    <w:rsid w:val="00403083"/>
    <w:rsid w:val="004038D3"/>
    <w:rsid w:val="00403D5B"/>
    <w:rsid w:val="004040FE"/>
    <w:rsid w:val="004047C1"/>
    <w:rsid w:val="00404D07"/>
    <w:rsid w:val="00407748"/>
    <w:rsid w:val="00411A74"/>
    <w:rsid w:val="0041235C"/>
    <w:rsid w:val="004125F3"/>
    <w:rsid w:val="00414534"/>
    <w:rsid w:val="00423BDC"/>
    <w:rsid w:val="004242F4"/>
    <w:rsid w:val="00430AC8"/>
    <w:rsid w:val="00431D08"/>
    <w:rsid w:val="0043366F"/>
    <w:rsid w:val="00434859"/>
    <w:rsid w:val="004349C3"/>
    <w:rsid w:val="004409D2"/>
    <w:rsid w:val="00444E9E"/>
    <w:rsid w:val="00445F8D"/>
    <w:rsid w:val="00450B97"/>
    <w:rsid w:val="00452B24"/>
    <w:rsid w:val="00453E7B"/>
    <w:rsid w:val="00454C83"/>
    <w:rsid w:val="004607B9"/>
    <w:rsid w:val="00463D2E"/>
    <w:rsid w:val="004650F9"/>
    <w:rsid w:val="00466EBE"/>
    <w:rsid w:val="004670F1"/>
    <w:rsid w:val="004709E2"/>
    <w:rsid w:val="0047164C"/>
    <w:rsid w:val="00471E1B"/>
    <w:rsid w:val="0047286B"/>
    <w:rsid w:val="00480CC3"/>
    <w:rsid w:val="00482BC2"/>
    <w:rsid w:val="00485C6C"/>
    <w:rsid w:val="00486273"/>
    <w:rsid w:val="00487082"/>
    <w:rsid w:val="00495096"/>
    <w:rsid w:val="004A1AE0"/>
    <w:rsid w:val="004A2CCD"/>
    <w:rsid w:val="004A2D94"/>
    <w:rsid w:val="004A515C"/>
    <w:rsid w:val="004A526D"/>
    <w:rsid w:val="004A5F0F"/>
    <w:rsid w:val="004A6C4A"/>
    <w:rsid w:val="004B312F"/>
    <w:rsid w:val="004B3549"/>
    <w:rsid w:val="004B3E10"/>
    <w:rsid w:val="004C1DB5"/>
    <w:rsid w:val="004C2968"/>
    <w:rsid w:val="004C321B"/>
    <w:rsid w:val="004C45AA"/>
    <w:rsid w:val="004C48E2"/>
    <w:rsid w:val="004C6089"/>
    <w:rsid w:val="004C6955"/>
    <w:rsid w:val="004C6D78"/>
    <w:rsid w:val="004C7BF7"/>
    <w:rsid w:val="004D06C9"/>
    <w:rsid w:val="004D3F7B"/>
    <w:rsid w:val="004D4DE4"/>
    <w:rsid w:val="004D5ABC"/>
    <w:rsid w:val="004E0A0B"/>
    <w:rsid w:val="004E52B1"/>
    <w:rsid w:val="004E5C29"/>
    <w:rsid w:val="004F0222"/>
    <w:rsid w:val="004F0545"/>
    <w:rsid w:val="004F11DA"/>
    <w:rsid w:val="004F275F"/>
    <w:rsid w:val="004F5C5D"/>
    <w:rsid w:val="00500A75"/>
    <w:rsid w:val="00503167"/>
    <w:rsid w:val="00504212"/>
    <w:rsid w:val="0051055E"/>
    <w:rsid w:val="005128B7"/>
    <w:rsid w:val="005145C0"/>
    <w:rsid w:val="00516F03"/>
    <w:rsid w:val="005171ED"/>
    <w:rsid w:val="005205B1"/>
    <w:rsid w:val="00521660"/>
    <w:rsid w:val="0052262E"/>
    <w:rsid w:val="00522FD4"/>
    <w:rsid w:val="00526BB1"/>
    <w:rsid w:val="00531DF0"/>
    <w:rsid w:val="00532412"/>
    <w:rsid w:val="0053319E"/>
    <w:rsid w:val="00535131"/>
    <w:rsid w:val="0053749B"/>
    <w:rsid w:val="00540BA7"/>
    <w:rsid w:val="005423A7"/>
    <w:rsid w:val="00546D94"/>
    <w:rsid w:val="00547557"/>
    <w:rsid w:val="005511D7"/>
    <w:rsid w:val="00561CAE"/>
    <w:rsid w:val="005631A3"/>
    <w:rsid w:val="00564F52"/>
    <w:rsid w:val="00565503"/>
    <w:rsid w:val="00565757"/>
    <w:rsid w:val="00570454"/>
    <w:rsid w:val="00570791"/>
    <w:rsid w:val="00571C02"/>
    <w:rsid w:val="00572237"/>
    <w:rsid w:val="005729BE"/>
    <w:rsid w:val="005739A6"/>
    <w:rsid w:val="005751A4"/>
    <w:rsid w:val="00575873"/>
    <w:rsid w:val="005762E8"/>
    <w:rsid w:val="00577A36"/>
    <w:rsid w:val="00580FB8"/>
    <w:rsid w:val="00581F19"/>
    <w:rsid w:val="00584953"/>
    <w:rsid w:val="005961DA"/>
    <w:rsid w:val="005964F6"/>
    <w:rsid w:val="005A02C3"/>
    <w:rsid w:val="005A0A9A"/>
    <w:rsid w:val="005A4FAD"/>
    <w:rsid w:val="005A772C"/>
    <w:rsid w:val="005B0FA8"/>
    <w:rsid w:val="005B18F3"/>
    <w:rsid w:val="005B2F16"/>
    <w:rsid w:val="005B39EF"/>
    <w:rsid w:val="005B4FF0"/>
    <w:rsid w:val="005B6CDA"/>
    <w:rsid w:val="005C4AE1"/>
    <w:rsid w:val="005D0A24"/>
    <w:rsid w:val="005D2633"/>
    <w:rsid w:val="005D3C9E"/>
    <w:rsid w:val="005D78FA"/>
    <w:rsid w:val="005E109F"/>
    <w:rsid w:val="005E2DBC"/>
    <w:rsid w:val="005E4230"/>
    <w:rsid w:val="005F094D"/>
    <w:rsid w:val="005F22B4"/>
    <w:rsid w:val="0060056F"/>
    <w:rsid w:val="006009E1"/>
    <w:rsid w:val="006039EA"/>
    <w:rsid w:val="00607BEF"/>
    <w:rsid w:val="0061326B"/>
    <w:rsid w:val="00613A73"/>
    <w:rsid w:val="0061481E"/>
    <w:rsid w:val="00614CDE"/>
    <w:rsid w:val="00615C47"/>
    <w:rsid w:val="006160D0"/>
    <w:rsid w:val="0062012A"/>
    <w:rsid w:val="00621368"/>
    <w:rsid w:val="00624ED1"/>
    <w:rsid w:val="00625521"/>
    <w:rsid w:val="006309B1"/>
    <w:rsid w:val="00630AAA"/>
    <w:rsid w:val="006336B8"/>
    <w:rsid w:val="00634BA5"/>
    <w:rsid w:val="00640432"/>
    <w:rsid w:val="006409D2"/>
    <w:rsid w:val="00640E8C"/>
    <w:rsid w:val="006419B5"/>
    <w:rsid w:val="0064310F"/>
    <w:rsid w:val="00644D5E"/>
    <w:rsid w:val="00644DFE"/>
    <w:rsid w:val="0064620A"/>
    <w:rsid w:val="00646680"/>
    <w:rsid w:val="006502AB"/>
    <w:rsid w:val="00650598"/>
    <w:rsid w:val="0065071D"/>
    <w:rsid w:val="006510A7"/>
    <w:rsid w:val="00651165"/>
    <w:rsid w:val="006557AC"/>
    <w:rsid w:val="00655892"/>
    <w:rsid w:val="006564EE"/>
    <w:rsid w:val="00660550"/>
    <w:rsid w:val="00660B5C"/>
    <w:rsid w:val="006627E5"/>
    <w:rsid w:val="00662959"/>
    <w:rsid w:val="00666AEF"/>
    <w:rsid w:val="006724A0"/>
    <w:rsid w:val="006741F9"/>
    <w:rsid w:val="006764E0"/>
    <w:rsid w:val="00680916"/>
    <w:rsid w:val="00683230"/>
    <w:rsid w:val="006851F6"/>
    <w:rsid w:val="00686B5F"/>
    <w:rsid w:val="00687516"/>
    <w:rsid w:val="00687DFB"/>
    <w:rsid w:val="006902A8"/>
    <w:rsid w:val="00693CA2"/>
    <w:rsid w:val="00694CD4"/>
    <w:rsid w:val="0069656B"/>
    <w:rsid w:val="0069777B"/>
    <w:rsid w:val="006A013A"/>
    <w:rsid w:val="006A381D"/>
    <w:rsid w:val="006A76CD"/>
    <w:rsid w:val="006A7AF2"/>
    <w:rsid w:val="006B04EA"/>
    <w:rsid w:val="006B3921"/>
    <w:rsid w:val="006B604A"/>
    <w:rsid w:val="006B63E3"/>
    <w:rsid w:val="006C0451"/>
    <w:rsid w:val="006C0D11"/>
    <w:rsid w:val="006C11D0"/>
    <w:rsid w:val="006D01F0"/>
    <w:rsid w:val="006D256C"/>
    <w:rsid w:val="006D25DA"/>
    <w:rsid w:val="006D27EC"/>
    <w:rsid w:val="006D6B58"/>
    <w:rsid w:val="006D7B20"/>
    <w:rsid w:val="006D7D3E"/>
    <w:rsid w:val="006E0970"/>
    <w:rsid w:val="006E12E5"/>
    <w:rsid w:val="006E18BF"/>
    <w:rsid w:val="006E26D5"/>
    <w:rsid w:val="006E298E"/>
    <w:rsid w:val="006E442C"/>
    <w:rsid w:val="006E52A2"/>
    <w:rsid w:val="006E70A0"/>
    <w:rsid w:val="006E72F8"/>
    <w:rsid w:val="006F03C0"/>
    <w:rsid w:val="006F151F"/>
    <w:rsid w:val="006F2E61"/>
    <w:rsid w:val="006F3E66"/>
    <w:rsid w:val="006F7E75"/>
    <w:rsid w:val="007000D0"/>
    <w:rsid w:val="00701218"/>
    <w:rsid w:val="00701C92"/>
    <w:rsid w:val="00703BB1"/>
    <w:rsid w:val="00706EBD"/>
    <w:rsid w:val="00706F6D"/>
    <w:rsid w:val="00707E66"/>
    <w:rsid w:val="00715D9A"/>
    <w:rsid w:val="00720E32"/>
    <w:rsid w:val="007219CC"/>
    <w:rsid w:val="0072382B"/>
    <w:rsid w:val="00723A9D"/>
    <w:rsid w:val="007244DF"/>
    <w:rsid w:val="00725840"/>
    <w:rsid w:val="007310B7"/>
    <w:rsid w:val="007326D4"/>
    <w:rsid w:val="007342C9"/>
    <w:rsid w:val="0073472D"/>
    <w:rsid w:val="00735A9F"/>
    <w:rsid w:val="00735ABE"/>
    <w:rsid w:val="00735EEE"/>
    <w:rsid w:val="00736852"/>
    <w:rsid w:val="007422F4"/>
    <w:rsid w:val="007428CB"/>
    <w:rsid w:val="00747F8E"/>
    <w:rsid w:val="00753CE7"/>
    <w:rsid w:val="00756A39"/>
    <w:rsid w:val="00764B76"/>
    <w:rsid w:val="00767145"/>
    <w:rsid w:val="007706F1"/>
    <w:rsid w:val="00772451"/>
    <w:rsid w:val="007740F4"/>
    <w:rsid w:val="00776624"/>
    <w:rsid w:val="00777814"/>
    <w:rsid w:val="007861EA"/>
    <w:rsid w:val="007868E2"/>
    <w:rsid w:val="007908F7"/>
    <w:rsid w:val="00790BF3"/>
    <w:rsid w:val="0079102A"/>
    <w:rsid w:val="00796FA4"/>
    <w:rsid w:val="007A08E0"/>
    <w:rsid w:val="007A1BF5"/>
    <w:rsid w:val="007A4D34"/>
    <w:rsid w:val="007A6F06"/>
    <w:rsid w:val="007B0915"/>
    <w:rsid w:val="007B147D"/>
    <w:rsid w:val="007B16E1"/>
    <w:rsid w:val="007B68EC"/>
    <w:rsid w:val="007C08F9"/>
    <w:rsid w:val="007C1CE3"/>
    <w:rsid w:val="007C6BC2"/>
    <w:rsid w:val="007D0C6D"/>
    <w:rsid w:val="007D3555"/>
    <w:rsid w:val="007D37E5"/>
    <w:rsid w:val="007D3AD6"/>
    <w:rsid w:val="007D536B"/>
    <w:rsid w:val="007D59E9"/>
    <w:rsid w:val="007D6FE4"/>
    <w:rsid w:val="007E3B28"/>
    <w:rsid w:val="007E4582"/>
    <w:rsid w:val="007E4AC7"/>
    <w:rsid w:val="007E5928"/>
    <w:rsid w:val="007E7B19"/>
    <w:rsid w:val="007F2C4E"/>
    <w:rsid w:val="007F3C08"/>
    <w:rsid w:val="007F5870"/>
    <w:rsid w:val="007F60E2"/>
    <w:rsid w:val="007F619E"/>
    <w:rsid w:val="007F79A3"/>
    <w:rsid w:val="008000FF"/>
    <w:rsid w:val="008008D4"/>
    <w:rsid w:val="00800B55"/>
    <w:rsid w:val="0080228F"/>
    <w:rsid w:val="00802CCE"/>
    <w:rsid w:val="008044D1"/>
    <w:rsid w:val="0080465F"/>
    <w:rsid w:val="008047A5"/>
    <w:rsid w:val="00812EEB"/>
    <w:rsid w:val="00815B93"/>
    <w:rsid w:val="0081611E"/>
    <w:rsid w:val="008201B1"/>
    <w:rsid w:val="00821116"/>
    <w:rsid w:val="00821EA8"/>
    <w:rsid w:val="0082251B"/>
    <w:rsid w:val="00822D21"/>
    <w:rsid w:val="008308AD"/>
    <w:rsid w:val="00831180"/>
    <w:rsid w:val="00832142"/>
    <w:rsid w:val="008365B5"/>
    <w:rsid w:val="00840715"/>
    <w:rsid w:val="00842CE8"/>
    <w:rsid w:val="008433EC"/>
    <w:rsid w:val="00846F00"/>
    <w:rsid w:val="00851AB5"/>
    <w:rsid w:val="008531B1"/>
    <w:rsid w:val="00855DC3"/>
    <w:rsid w:val="008650AB"/>
    <w:rsid w:val="0088453C"/>
    <w:rsid w:val="00884FAF"/>
    <w:rsid w:val="00886ADD"/>
    <w:rsid w:val="008929EA"/>
    <w:rsid w:val="00892B7B"/>
    <w:rsid w:val="00892E30"/>
    <w:rsid w:val="008A002C"/>
    <w:rsid w:val="008A0C0A"/>
    <w:rsid w:val="008A162A"/>
    <w:rsid w:val="008A61C9"/>
    <w:rsid w:val="008B1483"/>
    <w:rsid w:val="008B165C"/>
    <w:rsid w:val="008B31BA"/>
    <w:rsid w:val="008C1073"/>
    <w:rsid w:val="008C1AE2"/>
    <w:rsid w:val="008C2C8C"/>
    <w:rsid w:val="008C4D54"/>
    <w:rsid w:val="008C67B8"/>
    <w:rsid w:val="008C682D"/>
    <w:rsid w:val="008D3008"/>
    <w:rsid w:val="008D4051"/>
    <w:rsid w:val="008D6013"/>
    <w:rsid w:val="008D6B66"/>
    <w:rsid w:val="008D7EE8"/>
    <w:rsid w:val="008E017F"/>
    <w:rsid w:val="008E0C47"/>
    <w:rsid w:val="008E2D3B"/>
    <w:rsid w:val="008E4AEB"/>
    <w:rsid w:val="008F2132"/>
    <w:rsid w:val="008F44F4"/>
    <w:rsid w:val="008F482F"/>
    <w:rsid w:val="008F4DB6"/>
    <w:rsid w:val="008F5815"/>
    <w:rsid w:val="008F7586"/>
    <w:rsid w:val="008F7E99"/>
    <w:rsid w:val="00900BFB"/>
    <w:rsid w:val="00902339"/>
    <w:rsid w:val="00904569"/>
    <w:rsid w:val="009059A9"/>
    <w:rsid w:val="009070DA"/>
    <w:rsid w:val="00907916"/>
    <w:rsid w:val="0091526A"/>
    <w:rsid w:val="009158F0"/>
    <w:rsid w:val="00917374"/>
    <w:rsid w:val="00921812"/>
    <w:rsid w:val="00923989"/>
    <w:rsid w:val="00923FBD"/>
    <w:rsid w:val="009253A5"/>
    <w:rsid w:val="0092549A"/>
    <w:rsid w:val="0093210B"/>
    <w:rsid w:val="00934C76"/>
    <w:rsid w:val="009359B8"/>
    <w:rsid w:val="00935B9B"/>
    <w:rsid w:val="00935EC6"/>
    <w:rsid w:val="00936703"/>
    <w:rsid w:val="00937BA2"/>
    <w:rsid w:val="009413F8"/>
    <w:rsid w:val="00941966"/>
    <w:rsid w:val="00944854"/>
    <w:rsid w:val="0094532A"/>
    <w:rsid w:val="009469BA"/>
    <w:rsid w:val="00947E75"/>
    <w:rsid w:val="0095091B"/>
    <w:rsid w:val="00952506"/>
    <w:rsid w:val="00952D74"/>
    <w:rsid w:val="0095507B"/>
    <w:rsid w:val="00955666"/>
    <w:rsid w:val="0096164C"/>
    <w:rsid w:val="00963269"/>
    <w:rsid w:val="009724AE"/>
    <w:rsid w:val="00976E11"/>
    <w:rsid w:val="00981ECC"/>
    <w:rsid w:val="00982E73"/>
    <w:rsid w:val="00983E74"/>
    <w:rsid w:val="00991595"/>
    <w:rsid w:val="009B4E0A"/>
    <w:rsid w:val="009B775C"/>
    <w:rsid w:val="009B78CA"/>
    <w:rsid w:val="009C01A2"/>
    <w:rsid w:val="009C0E67"/>
    <w:rsid w:val="009C1711"/>
    <w:rsid w:val="009C27C8"/>
    <w:rsid w:val="009C3F0A"/>
    <w:rsid w:val="009C4927"/>
    <w:rsid w:val="009C4FE4"/>
    <w:rsid w:val="009C68D6"/>
    <w:rsid w:val="009C6BC4"/>
    <w:rsid w:val="009C75E8"/>
    <w:rsid w:val="009D1D42"/>
    <w:rsid w:val="009D2981"/>
    <w:rsid w:val="009D351E"/>
    <w:rsid w:val="009D3DB9"/>
    <w:rsid w:val="009D7A7B"/>
    <w:rsid w:val="009E2974"/>
    <w:rsid w:val="009E2BD2"/>
    <w:rsid w:val="009E376F"/>
    <w:rsid w:val="009F13AA"/>
    <w:rsid w:val="009F2259"/>
    <w:rsid w:val="009F5816"/>
    <w:rsid w:val="009F665A"/>
    <w:rsid w:val="00A0033A"/>
    <w:rsid w:val="00A00B1F"/>
    <w:rsid w:val="00A03B57"/>
    <w:rsid w:val="00A05376"/>
    <w:rsid w:val="00A07DA6"/>
    <w:rsid w:val="00A10C5B"/>
    <w:rsid w:val="00A14F29"/>
    <w:rsid w:val="00A1553C"/>
    <w:rsid w:val="00A22785"/>
    <w:rsid w:val="00A26189"/>
    <w:rsid w:val="00A320F3"/>
    <w:rsid w:val="00A4008E"/>
    <w:rsid w:val="00A411A9"/>
    <w:rsid w:val="00A435EA"/>
    <w:rsid w:val="00A44DB0"/>
    <w:rsid w:val="00A45424"/>
    <w:rsid w:val="00A4781A"/>
    <w:rsid w:val="00A51307"/>
    <w:rsid w:val="00A53DE9"/>
    <w:rsid w:val="00A57F1A"/>
    <w:rsid w:val="00A60EC2"/>
    <w:rsid w:val="00A62A46"/>
    <w:rsid w:val="00A70E44"/>
    <w:rsid w:val="00A71116"/>
    <w:rsid w:val="00A75330"/>
    <w:rsid w:val="00A75C9D"/>
    <w:rsid w:val="00A760ED"/>
    <w:rsid w:val="00A77552"/>
    <w:rsid w:val="00A77C11"/>
    <w:rsid w:val="00A84B35"/>
    <w:rsid w:val="00A85086"/>
    <w:rsid w:val="00A91FB2"/>
    <w:rsid w:val="00A934C2"/>
    <w:rsid w:val="00A938D6"/>
    <w:rsid w:val="00A950F0"/>
    <w:rsid w:val="00A96A80"/>
    <w:rsid w:val="00AA4C5C"/>
    <w:rsid w:val="00AA4C9D"/>
    <w:rsid w:val="00AA5B03"/>
    <w:rsid w:val="00AA6DFD"/>
    <w:rsid w:val="00AA760B"/>
    <w:rsid w:val="00AB0A08"/>
    <w:rsid w:val="00AB1889"/>
    <w:rsid w:val="00AB1E4A"/>
    <w:rsid w:val="00AB2408"/>
    <w:rsid w:val="00AB267B"/>
    <w:rsid w:val="00AB3469"/>
    <w:rsid w:val="00AB5682"/>
    <w:rsid w:val="00AB6679"/>
    <w:rsid w:val="00AB6EA8"/>
    <w:rsid w:val="00AC080C"/>
    <w:rsid w:val="00AC0EB2"/>
    <w:rsid w:val="00AC264D"/>
    <w:rsid w:val="00AC4BA4"/>
    <w:rsid w:val="00AD35FC"/>
    <w:rsid w:val="00AD6F60"/>
    <w:rsid w:val="00AD781B"/>
    <w:rsid w:val="00AE039D"/>
    <w:rsid w:val="00AE357C"/>
    <w:rsid w:val="00AE4178"/>
    <w:rsid w:val="00AE6D0C"/>
    <w:rsid w:val="00AE7780"/>
    <w:rsid w:val="00AE78C7"/>
    <w:rsid w:val="00AF43DF"/>
    <w:rsid w:val="00AF4936"/>
    <w:rsid w:val="00AF574D"/>
    <w:rsid w:val="00B02BB6"/>
    <w:rsid w:val="00B076E9"/>
    <w:rsid w:val="00B079C5"/>
    <w:rsid w:val="00B1214F"/>
    <w:rsid w:val="00B1498C"/>
    <w:rsid w:val="00B15151"/>
    <w:rsid w:val="00B151FC"/>
    <w:rsid w:val="00B16679"/>
    <w:rsid w:val="00B20D57"/>
    <w:rsid w:val="00B24EF7"/>
    <w:rsid w:val="00B256D6"/>
    <w:rsid w:val="00B25712"/>
    <w:rsid w:val="00B31171"/>
    <w:rsid w:val="00B342B2"/>
    <w:rsid w:val="00B34B7E"/>
    <w:rsid w:val="00B3525A"/>
    <w:rsid w:val="00B35283"/>
    <w:rsid w:val="00B35540"/>
    <w:rsid w:val="00B36BF3"/>
    <w:rsid w:val="00B36C33"/>
    <w:rsid w:val="00B40BE3"/>
    <w:rsid w:val="00B4156A"/>
    <w:rsid w:val="00B4197B"/>
    <w:rsid w:val="00B42C2C"/>
    <w:rsid w:val="00B43614"/>
    <w:rsid w:val="00B43F87"/>
    <w:rsid w:val="00B46E37"/>
    <w:rsid w:val="00B5229B"/>
    <w:rsid w:val="00B53BA6"/>
    <w:rsid w:val="00B5407D"/>
    <w:rsid w:val="00B54262"/>
    <w:rsid w:val="00B55A0D"/>
    <w:rsid w:val="00B571D0"/>
    <w:rsid w:val="00B610AE"/>
    <w:rsid w:val="00B61708"/>
    <w:rsid w:val="00B61CDD"/>
    <w:rsid w:val="00B6309C"/>
    <w:rsid w:val="00B63CCD"/>
    <w:rsid w:val="00B66EA5"/>
    <w:rsid w:val="00B70295"/>
    <w:rsid w:val="00B716C2"/>
    <w:rsid w:val="00B722E5"/>
    <w:rsid w:val="00B73332"/>
    <w:rsid w:val="00B772E9"/>
    <w:rsid w:val="00B8077A"/>
    <w:rsid w:val="00B8365B"/>
    <w:rsid w:val="00B84078"/>
    <w:rsid w:val="00B84803"/>
    <w:rsid w:val="00B9429D"/>
    <w:rsid w:val="00BA1229"/>
    <w:rsid w:val="00BA1C76"/>
    <w:rsid w:val="00BA3CDA"/>
    <w:rsid w:val="00BA4AD7"/>
    <w:rsid w:val="00BA63A2"/>
    <w:rsid w:val="00BA7B8D"/>
    <w:rsid w:val="00BB03C5"/>
    <w:rsid w:val="00BB3601"/>
    <w:rsid w:val="00BB5EDA"/>
    <w:rsid w:val="00BB5FEE"/>
    <w:rsid w:val="00BB7763"/>
    <w:rsid w:val="00BC227C"/>
    <w:rsid w:val="00BC4CBE"/>
    <w:rsid w:val="00BC5281"/>
    <w:rsid w:val="00BC6D4F"/>
    <w:rsid w:val="00BD067B"/>
    <w:rsid w:val="00BD203E"/>
    <w:rsid w:val="00BD441F"/>
    <w:rsid w:val="00BD54F9"/>
    <w:rsid w:val="00BE0CDE"/>
    <w:rsid w:val="00BE0D36"/>
    <w:rsid w:val="00BE44EA"/>
    <w:rsid w:val="00BE4657"/>
    <w:rsid w:val="00BF4467"/>
    <w:rsid w:val="00BF4866"/>
    <w:rsid w:val="00BF7DCE"/>
    <w:rsid w:val="00BF7EB2"/>
    <w:rsid w:val="00C006A8"/>
    <w:rsid w:val="00C03D7A"/>
    <w:rsid w:val="00C04AD0"/>
    <w:rsid w:val="00C054DB"/>
    <w:rsid w:val="00C072BE"/>
    <w:rsid w:val="00C10520"/>
    <w:rsid w:val="00C151D7"/>
    <w:rsid w:val="00C172CA"/>
    <w:rsid w:val="00C24329"/>
    <w:rsid w:val="00C25A0F"/>
    <w:rsid w:val="00C326FC"/>
    <w:rsid w:val="00C32D03"/>
    <w:rsid w:val="00C33327"/>
    <w:rsid w:val="00C35FA5"/>
    <w:rsid w:val="00C43882"/>
    <w:rsid w:val="00C44482"/>
    <w:rsid w:val="00C45BFE"/>
    <w:rsid w:val="00C541E8"/>
    <w:rsid w:val="00C56F03"/>
    <w:rsid w:val="00C6241F"/>
    <w:rsid w:val="00C66417"/>
    <w:rsid w:val="00C7012D"/>
    <w:rsid w:val="00C70854"/>
    <w:rsid w:val="00C710B0"/>
    <w:rsid w:val="00C71E7A"/>
    <w:rsid w:val="00C748D8"/>
    <w:rsid w:val="00C75131"/>
    <w:rsid w:val="00C760C6"/>
    <w:rsid w:val="00C80081"/>
    <w:rsid w:val="00C800DF"/>
    <w:rsid w:val="00C819B9"/>
    <w:rsid w:val="00C819D4"/>
    <w:rsid w:val="00C81D62"/>
    <w:rsid w:val="00C84BF1"/>
    <w:rsid w:val="00C8514D"/>
    <w:rsid w:val="00C8740D"/>
    <w:rsid w:val="00C92414"/>
    <w:rsid w:val="00C93428"/>
    <w:rsid w:val="00C947BF"/>
    <w:rsid w:val="00CA1309"/>
    <w:rsid w:val="00CA3591"/>
    <w:rsid w:val="00CA5632"/>
    <w:rsid w:val="00CA6EC8"/>
    <w:rsid w:val="00CB0248"/>
    <w:rsid w:val="00CB490C"/>
    <w:rsid w:val="00CC04EF"/>
    <w:rsid w:val="00CC0804"/>
    <w:rsid w:val="00CC0B59"/>
    <w:rsid w:val="00CC27C9"/>
    <w:rsid w:val="00CC621D"/>
    <w:rsid w:val="00CC7E56"/>
    <w:rsid w:val="00CD06D2"/>
    <w:rsid w:val="00CD1AF7"/>
    <w:rsid w:val="00CD2C07"/>
    <w:rsid w:val="00CD7851"/>
    <w:rsid w:val="00CE1F3B"/>
    <w:rsid w:val="00CE2FD9"/>
    <w:rsid w:val="00CE4167"/>
    <w:rsid w:val="00CE569B"/>
    <w:rsid w:val="00CF3089"/>
    <w:rsid w:val="00CF3793"/>
    <w:rsid w:val="00CF52B8"/>
    <w:rsid w:val="00CF5D4D"/>
    <w:rsid w:val="00CF5FC4"/>
    <w:rsid w:val="00CF65F8"/>
    <w:rsid w:val="00D0278E"/>
    <w:rsid w:val="00D05365"/>
    <w:rsid w:val="00D05D33"/>
    <w:rsid w:val="00D05D7A"/>
    <w:rsid w:val="00D1059D"/>
    <w:rsid w:val="00D15C17"/>
    <w:rsid w:val="00D211C1"/>
    <w:rsid w:val="00D21BF0"/>
    <w:rsid w:val="00D25705"/>
    <w:rsid w:val="00D25925"/>
    <w:rsid w:val="00D26E97"/>
    <w:rsid w:val="00D271E6"/>
    <w:rsid w:val="00D333BA"/>
    <w:rsid w:val="00D34621"/>
    <w:rsid w:val="00D34CA3"/>
    <w:rsid w:val="00D34D2C"/>
    <w:rsid w:val="00D37551"/>
    <w:rsid w:val="00D4053E"/>
    <w:rsid w:val="00D43581"/>
    <w:rsid w:val="00D4623B"/>
    <w:rsid w:val="00D507EE"/>
    <w:rsid w:val="00D551EF"/>
    <w:rsid w:val="00D572D4"/>
    <w:rsid w:val="00D61485"/>
    <w:rsid w:val="00D63769"/>
    <w:rsid w:val="00D63953"/>
    <w:rsid w:val="00D63AB3"/>
    <w:rsid w:val="00D63F46"/>
    <w:rsid w:val="00D63F64"/>
    <w:rsid w:val="00D6462E"/>
    <w:rsid w:val="00D71F25"/>
    <w:rsid w:val="00D745D0"/>
    <w:rsid w:val="00D77B0A"/>
    <w:rsid w:val="00D805D0"/>
    <w:rsid w:val="00D8207E"/>
    <w:rsid w:val="00D82E4B"/>
    <w:rsid w:val="00D85FDC"/>
    <w:rsid w:val="00D90A59"/>
    <w:rsid w:val="00D91D66"/>
    <w:rsid w:val="00D94010"/>
    <w:rsid w:val="00D94D50"/>
    <w:rsid w:val="00D957CA"/>
    <w:rsid w:val="00D96DD9"/>
    <w:rsid w:val="00D97A6B"/>
    <w:rsid w:val="00D97C3E"/>
    <w:rsid w:val="00DA1E10"/>
    <w:rsid w:val="00DA584E"/>
    <w:rsid w:val="00DA6F49"/>
    <w:rsid w:val="00DB5D92"/>
    <w:rsid w:val="00DB63D9"/>
    <w:rsid w:val="00DB6C91"/>
    <w:rsid w:val="00DC1346"/>
    <w:rsid w:val="00DC2B4C"/>
    <w:rsid w:val="00DC2BA8"/>
    <w:rsid w:val="00DC39CA"/>
    <w:rsid w:val="00DC48D2"/>
    <w:rsid w:val="00DC582D"/>
    <w:rsid w:val="00DD07D4"/>
    <w:rsid w:val="00DD0B86"/>
    <w:rsid w:val="00DD13F6"/>
    <w:rsid w:val="00DD2E29"/>
    <w:rsid w:val="00DD5CA0"/>
    <w:rsid w:val="00DD60EC"/>
    <w:rsid w:val="00DE0C01"/>
    <w:rsid w:val="00DE1097"/>
    <w:rsid w:val="00DE1B31"/>
    <w:rsid w:val="00DE2454"/>
    <w:rsid w:val="00DE3695"/>
    <w:rsid w:val="00DE4C79"/>
    <w:rsid w:val="00DE4E9B"/>
    <w:rsid w:val="00DE585E"/>
    <w:rsid w:val="00DE6519"/>
    <w:rsid w:val="00DF04C2"/>
    <w:rsid w:val="00DF1ED0"/>
    <w:rsid w:val="00E00A95"/>
    <w:rsid w:val="00E00DD9"/>
    <w:rsid w:val="00E01386"/>
    <w:rsid w:val="00E015BE"/>
    <w:rsid w:val="00E02540"/>
    <w:rsid w:val="00E05156"/>
    <w:rsid w:val="00E05747"/>
    <w:rsid w:val="00E07F7B"/>
    <w:rsid w:val="00E1436D"/>
    <w:rsid w:val="00E1664E"/>
    <w:rsid w:val="00E1766A"/>
    <w:rsid w:val="00E22F3E"/>
    <w:rsid w:val="00E25382"/>
    <w:rsid w:val="00E30D94"/>
    <w:rsid w:val="00E34ADC"/>
    <w:rsid w:val="00E3666C"/>
    <w:rsid w:val="00E3696E"/>
    <w:rsid w:val="00E403DB"/>
    <w:rsid w:val="00E40F93"/>
    <w:rsid w:val="00E41ADD"/>
    <w:rsid w:val="00E43681"/>
    <w:rsid w:val="00E45ADD"/>
    <w:rsid w:val="00E52580"/>
    <w:rsid w:val="00E61A71"/>
    <w:rsid w:val="00E64977"/>
    <w:rsid w:val="00E6561D"/>
    <w:rsid w:val="00E66835"/>
    <w:rsid w:val="00E67AE9"/>
    <w:rsid w:val="00E71124"/>
    <w:rsid w:val="00E81080"/>
    <w:rsid w:val="00E81B9E"/>
    <w:rsid w:val="00E83710"/>
    <w:rsid w:val="00E842C6"/>
    <w:rsid w:val="00E852D8"/>
    <w:rsid w:val="00E87601"/>
    <w:rsid w:val="00E91214"/>
    <w:rsid w:val="00E96BD3"/>
    <w:rsid w:val="00EA1E32"/>
    <w:rsid w:val="00EA32F5"/>
    <w:rsid w:val="00EA3AC0"/>
    <w:rsid w:val="00EA44E4"/>
    <w:rsid w:val="00EA6369"/>
    <w:rsid w:val="00EA64B0"/>
    <w:rsid w:val="00EA6C78"/>
    <w:rsid w:val="00EB4446"/>
    <w:rsid w:val="00EC2878"/>
    <w:rsid w:val="00ED0508"/>
    <w:rsid w:val="00ED61C7"/>
    <w:rsid w:val="00ED6E1B"/>
    <w:rsid w:val="00ED7167"/>
    <w:rsid w:val="00ED716C"/>
    <w:rsid w:val="00EE0534"/>
    <w:rsid w:val="00EE0A45"/>
    <w:rsid w:val="00EE26D2"/>
    <w:rsid w:val="00EE33DA"/>
    <w:rsid w:val="00EE46FE"/>
    <w:rsid w:val="00EF178D"/>
    <w:rsid w:val="00EF39B8"/>
    <w:rsid w:val="00EF3CB2"/>
    <w:rsid w:val="00EF4A3D"/>
    <w:rsid w:val="00F00251"/>
    <w:rsid w:val="00F0362B"/>
    <w:rsid w:val="00F041D8"/>
    <w:rsid w:val="00F109FB"/>
    <w:rsid w:val="00F11EE9"/>
    <w:rsid w:val="00F124F4"/>
    <w:rsid w:val="00F21279"/>
    <w:rsid w:val="00F21BC9"/>
    <w:rsid w:val="00F21DA8"/>
    <w:rsid w:val="00F2342A"/>
    <w:rsid w:val="00F256E7"/>
    <w:rsid w:val="00F300A6"/>
    <w:rsid w:val="00F33A62"/>
    <w:rsid w:val="00F34666"/>
    <w:rsid w:val="00F3541D"/>
    <w:rsid w:val="00F35CF0"/>
    <w:rsid w:val="00F36CA7"/>
    <w:rsid w:val="00F372FF"/>
    <w:rsid w:val="00F40CEF"/>
    <w:rsid w:val="00F41534"/>
    <w:rsid w:val="00F424CB"/>
    <w:rsid w:val="00F4321C"/>
    <w:rsid w:val="00F44270"/>
    <w:rsid w:val="00F44CEC"/>
    <w:rsid w:val="00F51568"/>
    <w:rsid w:val="00F529DD"/>
    <w:rsid w:val="00F53340"/>
    <w:rsid w:val="00F54686"/>
    <w:rsid w:val="00F55159"/>
    <w:rsid w:val="00F555D2"/>
    <w:rsid w:val="00F55B65"/>
    <w:rsid w:val="00F577CA"/>
    <w:rsid w:val="00F608A5"/>
    <w:rsid w:val="00F633FC"/>
    <w:rsid w:val="00F634A3"/>
    <w:rsid w:val="00F635C1"/>
    <w:rsid w:val="00F6503F"/>
    <w:rsid w:val="00F6574C"/>
    <w:rsid w:val="00F657F2"/>
    <w:rsid w:val="00F669FB"/>
    <w:rsid w:val="00F67576"/>
    <w:rsid w:val="00F7768F"/>
    <w:rsid w:val="00F815D5"/>
    <w:rsid w:val="00F90080"/>
    <w:rsid w:val="00F974AC"/>
    <w:rsid w:val="00F97685"/>
    <w:rsid w:val="00FA0167"/>
    <w:rsid w:val="00FA03E2"/>
    <w:rsid w:val="00FA04E5"/>
    <w:rsid w:val="00FA0BE9"/>
    <w:rsid w:val="00FA2B9F"/>
    <w:rsid w:val="00FA42EC"/>
    <w:rsid w:val="00FA4AEC"/>
    <w:rsid w:val="00FA534E"/>
    <w:rsid w:val="00FA6FCB"/>
    <w:rsid w:val="00FC0438"/>
    <w:rsid w:val="00FC4209"/>
    <w:rsid w:val="00FC4ED1"/>
    <w:rsid w:val="00FC63BC"/>
    <w:rsid w:val="00FD34B1"/>
    <w:rsid w:val="00FD6282"/>
    <w:rsid w:val="00FD67DC"/>
    <w:rsid w:val="00FE1E79"/>
    <w:rsid w:val="00FE2707"/>
    <w:rsid w:val="00FE4E65"/>
    <w:rsid w:val="00FE5812"/>
    <w:rsid w:val="00FE5E65"/>
    <w:rsid w:val="00FF0632"/>
    <w:rsid w:val="00FF2486"/>
    <w:rsid w:val="00FF3547"/>
    <w:rsid w:val="00FF38ED"/>
    <w:rsid w:val="00FF3FD0"/>
    <w:rsid w:val="00FF470E"/>
    <w:rsid w:val="00FF6DA6"/>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85C3B"/>
  <w15:chartTrackingRefBased/>
  <w15:docId w15:val="{06E43B78-78C1-4994-91DE-E1148E13E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H"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815"/>
    <w:pPr>
      <w:autoSpaceDE w:val="0"/>
      <w:autoSpaceDN w:val="0"/>
      <w:jc w:val="both"/>
    </w:pPr>
    <w:rPr>
      <w:rFonts w:ascii="Arial" w:eastAsia="Times New Roman" w:hAnsi="Arial"/>
      <w:sz w:val="22"/>
      <w:szCs w:val="24"/>
      <w:lang w:val="fr-FR" w:eastAsia="fr-FR"/>
    </w:rPr>
  </w:style>
  <w:style w:type="paragraph" w:styleId="Titre1">
    <w:name w:val="heading 1"/>
    <w:basedOn w:val="Paragraphedeliste"/>
    <w:next w:val="Normal"/>
    <w:link w:val="Titre1Car"/>
    <w:uiPriority w:val="9"/>
    <w:qFormat/>
    <w:rsid w:val="00572237"/>
    <w:pPr>
      <w:numPr>
        <w:numId w:val="1"/>
      </w:numPr>
      <w:pBdr>
        <w:top w:val="single" w:sz="4" w:space="1" w:color="auto"/>
        <w:left w:val="single" w:sz="4" w:space="4" w:color="auto"/>
        <w:bottom w:val="single" w:sz="4" w:space="1" w:color="auto"/>
        <w:right w:val="single" w:sz="4" w:space="4" w:color="auto"/>
      </w:pBdr>
      <w:spacing w:before="360" w:after="360"/>
      <w:ind w:left="425" w:hanging="425"/>
      <w:outlineLvl w:val="0"/>
    </w:pPr>
    <w:rPr>
      <w:rFonts w:cs="Arial"/>
      <w:b/>
      <w:sz w:val="24"/>
    </w:rPr>
  </w:style>
  <w:style w:type="paragraph" w:styleId="Titre2">
    <w:name w:val="heading 2"/>
    <w:basedOn w:val="Paragraphedeliste"/>
    <w:next w:val="Normal"/>
    <w:link w:val="Titre2Car"/>
    <w:qFormat/>
    <w:rsid w:val="000F54EE"/>
    <w:pPr>
      <w:spacing w:before="120" w:after="120"/>
      <w:ind w:left="0"/>
      <w:contextualSpacing w:val="0"/>
      <w:outlineLvl w:val="1"/>
    </w:pPr>
    <w:rPr>
      <w:rFonts w:cs="Arial"/>
      <w:b/>
      <w:szCs w:val="22"/>
    </w:rPr>
  </w:style>
  <w:style w:type="paragraph" w:styleId="Titre3">
    <w:name w:val="heading 3"/>
    <w:basedOn w:val="Normal"/>
    <w:next w:val="Normal"/>
    <w:link w:val="Titre3Car"/>
    <w:uiPriority w:val="9"/>
    <w:unhideWhenUsed/>
    <w:qFormat/>
    <w:rsid w:val="002C1656"/>
    <w:pPr>
      <w:keepNext/>
      <w:keepLines/>
      <w:spacing w:before="200"/>
      <w:outlineLvl w:val="2"/>
    </w:pPr>
    <w:rPr>
      <w:bCs/>
      <w:u w:val="single"/>
    </w:rPr>
  </w:style>
  <w:style w:type="paragraph" w:styleId="Titre4">
    <w:name w:val="heading 4"/>
    <w:basedOn w:val="Normal"/>
    <w:next w:val="Normal"/>
    <w:link w:val="Titre4Car"/>
    <w:uiPriority w:val="9"/>
    <w:unhideWhenUsed/>
    <w:qFormat/>
    <w:rsid w:val="00454C83"/>
    <w:pPr>
      <w:keepNext/>
      <w:keepLines/>
      <w:spacing w:before="200"/>
      <w:outlineLvl w:val="3"/>
    </w:pPr>
    <w:rPr>
      <w:bCs/>
      <w:i/>
      <w:iCs/>
    </w:rPr>
  </w:style>
  <w:style w:type="paragraph" w:styleId="Titre5">
    <w:name w:val="heading 5"/>
    <w:basedOn w:val="Normal"/>
    <w:next w:val="Normal"/>
    <w:link w:val="Titre5Car"/>
    <w:uiPriority w:val="9"/>
    <w:unhideWhenUsed/>
    <w:qFormat/>
    <w:rsid w:val="00423BDC"/>
    <w:pPr>
      <w:keepNext/>
      <w:keepLines/>
      <w:spacing w:before="40"/>
      <w:outlineLvl w:val="4"/>
    </w:pPr>
    <w:rPr>
      <w:rFonts w:eastAsiaTheme="majorEastAsia" w:cstheme="majorBid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2C8C"/>
    <w:pPr>
      <w:tabs>
        <w:tab w:val="center" w:pos="4536"/>
        <w:tab w:val="right" w:pos="9072"/>
      </w:tabs>
    </w:pPr>
  </w:style>
  <w:style w:type="character" w:customStyle="1" w:styleId="En-tteCar">
    <w:name w:val="En-tête Car"/>
    <w:basedOn w:val="Policepardfaut"/>
    <w:link w:val="En-tte"/>
    <w:uiPriority w:val="99"/>
    <w:rsid w:val="008C2C8C"/>
  </w:style>
  <w:style w:type="paragraph" w:styleId="Pieddepage">
    <w:name w:val="footer"/>
    <w:basedOn w:val="Normal"/>
    <w:link w:val="PieddepageCar"/>
    <w:uiPriority w:val="99"/>
    <w:unhideWhenUsed/>
    <w:rsid w:val="008C2C8C"/>
    <w:pPr>
      <w:tabs>
        <w:tab w:val="center" w:pos="4536"/>
        <w:tab w:val="right" w:pos="9072"/>
      </w:tabs>
    </w:pPr>
  </w:style>
  <w:style w:type="character" w:customStyle="1" w:styleId="PieddepageCar">
    <w:name w:val="Pied de page Car"/>
    <w:basedOn w:val="Policepardfaut"/>
    <w:link w:val="Pieddepage"/>
    <w:uiPriority w:val="99"/>
    <w:rsid w:val="008C2C8C"/>
  </w:style>
  <w:style w:type="character" w:customStyle="1" w:styleId="Titre2Car">
    <w:name w:val="Titre 2 Car"/>
    <w:link w:val="Titre2"/>
    <w:rsid w:val="000F54EE"/>
    <w:rPr>
      <w:rFonts w:ascii="Arial" w:eastAsia="Times New Roman" w:hAnsi="Arial" w:cs="Arial"/>
      <w:b/>
      <w:sz w:val="22"/>
      <w:szCs w:val="22"/>
      <w:lang w:val="fr-FR" w:eastAsia="fr-FR"/>
    </w:rPr>
  </w:style>
  <w:style w:type="paragraph" w:styleId="Paragraphedeliste">
    <w:name w:val="List Paragraph"/>
    <w:basedOn w:val="Normal"/>
    <w:uiPriority w:val="34"/>
    <w:qFormat/>
    <w:rsid w:val="003E26D4"/>
    <w:pPr>
      <w:ind w:left="720"/>
      <w:contextualSpacing/>
    </w:pPr>
  </w:style>
  <w:style w:type="paragraph" w:styleId="Textedebulles">
    <w:name w:val="Balloon Text"/>
    <w:basedOn w:val="Normal"/>
    <w:link w:val="TextedebullesCar"/>
    <w:uiPriority w:val="99"/>
    <w:semiHidden/>
    <w:unhideWhenUsed/>
    <w:rsid w:val="00263299"/>
    <w:rPr>
      <w:rFonts w:ascii="Tahoma" w:hAnsi="Tahoma" w:cs="Tahoma"/>
      <w:sz w:val="16"/>
      <w:szCs w:val="16"/>
    </w:rPr>
  </w:style>
  <w:style w:type="character" w:customStyle="1" w:styleId="TextedebullesCar">
    <w:name w:val="Texte de bulles Car"/>
    <w:link w:val="Textedebulles"/>
    <w:uiPriority w:val="99"/>
    <w:semiHidden/>
    <w:rsid w:val="00263299"/>
    <w:rPr>
      <w:rFonts w:ascii="Tahoma" w:eastAsia="Times New Roman" w:hAnsi="Tahoma" w:cs="Tahoma"/>
      <w:sz w:val="16"/>
      <w:szCs w:val="16"/>
      <w:lang w:val="fr-FR" w:eastAsia="fr-FR"/>
    </w:rPr>
  </w:style>
  <w:style w:type="paragraph" w:styleId="Notedefin">
    <w:name w:val="endnote text"/>
    <w:basedOn w:val="Normal"/>
    <w:link w:val="NotedefinCar"/>
    <w:uiPriority w:val="99"/>
    <w:semiHidden/>
    <w:unhideWhenUsed/>
    <w:rsid w:val="005B39EF"/>
    <w:rPr>
      <w:szCs w:val="20"/>
    </w:rPr>
  </w:style>
  <w:style w:type="character" w:customStyle="1" w:styleId="NotedefinCar">
    <w:name w:val="Note de fin Car"/>
    <w:link w:val="Notedefin"/>
    <w:uiPriority w:val="99"/>
    <w:semiHidden/>
    <w:rsid w:val="005B39EF"/>
    <w:rPr>
      <w:rFonts w:ascii="Times New Roman" w:eastAsia="Times New Roman" w:hAnsi="Times New Roman" w:cs="Times New Roman"/>
      <w:sz w:val="20"/>
      <w:szCs w:val="20"/>
      <w:lang w:val="fr-FR" w:eastAsia="fr-FR"/>
    </w:rPr>
  </w:style>
  <w:style w:type="character" w:styleId="Appeldenotedefin">
    <w:name w:val="endnote reference"/>
    <w:uiPriority w:val="99"/>
    <w:semiHidden/>
    <w:unhideWhenUsed/>
    <w:rsid w:val="005B39EF"/>
    <w:rPr>
      <w:vertAlign w:val="superscript"/>
    </w:rPr>
  </w:style>
  <w:style w:type="paragraph" w:styleId="Notedebasdepage">
    <w:name w:val="footnote text"/>
    <w:basedOn w:val="Normal"/>
    <w:link w:val="NotedebasdepageCar"/>
    <w:uiPriority w:val="99"/>
    <w:semiHidden/>
    <w:unhideWhenUsed/>
    <w:rsid w:val="005B39EF"/>
    <w:rPr>
      <w:szCs w:val="20"/>
    </w:rPr>
  </w:style>
  <w:style w:type="character" w:customStyle="1" w:styleId="NotedebasdepageCar">
    <w:name w:val="Note de bas de page Car"/>
    <w:link w:val="Notedebasdepage"/>
    <w:uiPriority w:val="99"/>
    <w:semiHidden/>
    <w:rsid w:val="005B39EF"/>
    <w:rPr>
      <w:rFonts w:ascii="Times New Roman" w:eastAsia="Times New Roman" w:hAnsi="Times New Roman" w:cs="Times New Roman"/>
      <w:sz w:val="20"/>
      <w:szCs w:val="20"/>
      <w:lang w:val="fr-FR" w:eastAsia="fr-FR"/>
    </w:rPr>
  </w:style>
  <w:style w:type="character" w:styleId="Appelnotedebasdep">
    <w:name w:val="footnote reference"/>
    <w:uiPriority w:val="99"/>
    <w:semiHidden/>
    <w:unhideWhenUsed/>
    <w:rsid w:val="005B39EF"/>
    <w:rPr>
      <w:vertAlign w:val="superscript"/>
    </w:rPr>
  </w:style>
  <w:style w:type="character" w:styleId="Lienhypertexte">
    <w:name w:val="Hyperlink"/>
    <w:uiPriority w:val="99"/>
    <w:unhideWhenUsed/>
    <w:rsid w:val="006564EE"/>
    <w:rPr>
      <w:color w:val="0000FF"/>
      <w:u w:val="single"/>
    </w:rPr>
  </w:style>
  <w:style w:type="character" w:customStyle="1" w:styleId="titreloi">
    <w:name w:val="titreloi"/>
    <w:rsid w:val="00565757"/>
    <w:rPr>
      <w:b/>
      <w:bCs/>
      <w:caps/>
      <w:sz w:val="36"/>
      <w:szCs w:val="36"/>
    </w:rPr>
  </w:style>
  <w:style w:type="character" w:customStyle="1" w:styleId="Titre1Car">
    <w:name w:val="Titre 1 Car"/>
    <w:link w:val="Titre1"/>
    <w:uiPriority w:val="9"/>
    <w:rsid w:val="00572237"/>
    <w:rPr>
      <w:rFonts w:ascii="Arial" w:eastAsia="Times New Roman" w:hAnsi="Arial" w:cs="Arial"/>
      <w:b/>
      <w:sz w:val="24"/>
      <w:szCs w:val="24"/>
      <w:lang w:val="fr-FR" w:eastAsia="fr-FR"/>
    </w:rPr>
  </w:style>
  <w:style w:type="character" w:styleId="lev">
    <w:name w:val="Strong"/>
    <w:uiPriority w:val="22"/>
    <w:qFormat/>
    <w:rsid w:val="00A85086"/>
    <w:rPr>
      <w:b/>
      <w:bCs/>
    </w:rPr>
  </w:style>
  <w:style w:type="paragraph" w:customStyle="1" w:styleId="Default">
    <w:name w:val="Default"/>
    <w:rsid w:val="00B1214F"/>
    <w:pPr>
      <w:autoSpaceDE w:val="0"/>
      <w:autoSpaceDN w:val="0"/>
      <w:adjustRightInd w:val="0"/>
    </w:pPr>
    <w:rPr>
      <w:rFonts w:ascii="Times New Roman" w:hAnsi="Times New Roman"/>
      <w:color w:val="000000"/>
      <w:sz w:val="24"/>
      <w:szCs w:val="24"/>
      <w:lang w:eastAsia="en-US"/>
    </w:rPr>
  </w:style>
  <w:style w:type="paragraph" w:customStyle="1" w:styleId="ErlassKurztitel">
    <w:name w:val="Erlass Kurztitel"/>
    <w:basedOn w:val="Default"/>
    <w:next w:val="Default"/>
    <w:uiPriority w:val="99"/>
    <w:rsid w:val="00B1214F"/>
    <w:rPr>
      <w:color w:val="auto"/>
    </w:rPr>
  </w:style>
  <w:style w:type="paragraph" w:customStyle="1" w:styleId="Abstand18pt">
    <w:name w:val="Abstand /18pt"/>
    <w:basedOn w:val="Default"/>
    <w:next w:val="Default"/>
    <w:uiPriority w:val="99"/>
    <w:rsid w:val="00B1214F"/>
    <w:rPr>
      <w:color w:val="auto"/>
    </w:rPr>
  </w:style>
  <w:style w:type="paragraph" w:customStyle="1" w:styleId="Absatz">
    <w:name w:val="Absatz"/>
    <w:basedOn w:val="Default"/>
    <w:next w:val="Default"/>
    <w:uiPriority w:val="99"/>
    <w:rsid w:val="00B1214F"/>
    <w:rPr>
      <w:color w:val="auto"/>
    </w:rPr>
  </w:style>
  <w:style w:type="character" w:customStyle="1" w:styleId="Funotenzeichen">
    <w:name w:val="Fußnotenzeichen"/>
    <w:uiPriority w:val="99"/>
    <w:rsid w:val="00B1214F"/>
    <w:rPr>
      <w:color w:val="000000"/>
      <w:sz w:val="13"/>
      <w:szCs w:val="13"/>
    </w:rPr>
  </w:style>
  <w:style w:type="paragraph" w:customStyle="1" w:styleId="berschrift4">
    <w:name w:val="Überschrift 4"/>
    <w:basedOn w:val="Default"/>
    <w:next w:val="Default"/>
    <w:uiPriority w:val="99"/>
    <w:rsid w:val="004B312F"/>
    <w:rPr>
      <w:color w:val="auto"/>
    </w:rPr>
  </w:style>
  <w:style w:type="paragraph" w:customStyle="1" w:styleId="Absatz8pt">
    <w:name w:val="Absatz /8pt"/>
    <w:basedOn w:val="Default"/>
    <w:next w:val="Default"/>
    <w:uiPriority w:val="99"/>
    <w:rsid w:val="004B312F"/>
    <w:rPr>
      <w:color w:val="auto"/>
    </w:rPr>
  </w:style>
  <w:style w:type="table" w:styleId="Grilledutableau">
    <w:name w:val="Table Grid"/>
    <w:basedOn w:val="TableauNormal"/>
    <w:uiPriority w:val="59"/>
    <w:rsid w:val="00C74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uiPriority w:val="99"/>
    <w:semiHidden/>
    <w:unhideWhenUsed/>
    <w:rsid w:val="00CE1F3B"/>
    <w:rPr>
      <w:color w:val="800080"/>
      <w:u w:val="single"/>
    </w:rPr>
  </w:style>
  <w:style w:type="character" w:customStyle="1" w:styleId="Titre3Car">
    <w:name w:val="Titre 3 Car"/>
    <w:link w:val="Titre3"/>
    <w:uiPriority w:val="9"/>
    <w:rsid w:val="002C1656"/>
    <w:rPr>
      <w:rFonts w:ascii="Arial" w:eastAsia="Times New Roman" w:hAnsi="Arial"/>
      <w:bCs/>
      <w:sz w:val="22"/>
      <w:szCs w:val="24"/>
      <w:u w:val="single"/>
      <w:lang w:val="fr-FR" w:eastAsia="fr-FR"/>
    </w:rPr>
  </w:style>
  <w:style w:type="character" w:customStyle="1" w:styleId="citetitle">
    <w:name w:val="citetitle"/>
    <w:basedOn w:val="Policepardfaut"/>
    <w:rsid w:val="001A53D5"/>
  </w:style>
  <w:style w:type="character" w:customStyle="1" w:styleId="corpauthor">
    <w:name w:val="corpauthor"/>
    <w:basedOn w:val="Policepardfaut"/>
    <w:rsid w:val="001A53D5"/>
  </w:style>
  <w:style w:type="character" w:customStyle="1" w:styleId="pubdate">
    <w:name w:val="pubdate"/>
    <w:basedOn w:val="Policepardfaut"/>
    <w:rsid w:val="001A53D5"/>
  </w:style>
  <w:style w:type="paragraph" w:customStyle="1" w:styleId="Commentaire1">
    <w:name w:val="Commentaire1"/>
    <w:basedOn w:val="Normal"/>
    <w:rsid w:val="00F6574C"/>
    <w:pPr>
      <w:suppressAutoHyphens/>
      <w:autoSpaceDE/>
      <w:autoSpaceDN/>
    </w:pPr>
    <w:rPr>
      <w:szCs w:val="20"/>
      <w:lang w:val="de-DE" w:eastAsia="ar-SA"/>
    </w:rPr>
  </w:style>
  <w:style w:type="character" w:customStyle="1" w:styleId="Titre4Car">
    <w:name w:val="Titre 4 Car"/>
    <w:link w:val="Titre4"/>
    <w:uiPriority w:val="9"/>
    <w:rsid w:val="00454C83"/>
    <w:rPr>
      <w:rFonts w:ascii="Arial" w:eastAsia="Times New Roman" w:hAnsi="Arial"/>
      <w:bCs/>
      <w:i/>
      <w:iCs/>
      <w:sz w:val="22"/>
      <w:szCs w:val="24"/>
      <w:lang w:val="fr-FR" w:eastAsia="fr-FR"/>
    </w:rPr>
  </w:style>
  <w:style w:type="paragraph" w:customStyle="1" w:styleId="optxtp">
    <w:name w:val="op_txt_p"/>
    <w:basedOn w:val="Normal"/>
    <w:rsid w:val="00155B28"/>
    <w:pPr>
      <w:autoSpaceDE/>
      <w:autoSpaceDN/>
      <w:spacing w:before="48" w:after="168" w:line="336" w:lineRule="atLeast"/>
      <w:ind w:left="240" w:right="240"/>
    </w:pPr>
    <w:rPr>
      <w:sz w:val="26"/>
      <w:szCs w:val="26"/>
      <w:lang w:val="fr-CH" w:eastAsia="fr-CH"/>
    </w:rPr>
  </w:style>
  <w:style w:type="character" w:customStyle="1" w:styleId="optxtisemp2">
    <w:name w:val="op_txt_is_emp2"/>
    <w:rsid w:val="00155B28"/>
    <w:rPr>
      <w:b/>
      <w:bCs/>
      <w:color w:val="205DAE"/>
    </w:rPr>
  </w:style>
  <w:style w:type="paragraph" w:customStyle="1" w:styleId="opstxtp">
    <w:name w:val="op_stxt_p"/>
    <w:basedOn w:val="Normal"/>
    <w:rsid w:val="00707E66"/>
    <w:pPr>
      <w:autoSpaceDE/>
      <w:autoSpaceDN/>
      <w:spacing w:before="48" w:after="168" w:line="336" w:lineRule="atLeast"/>
      <w:ind w:left="240" w:right="240"/>
    </w:pPr>
    <w:rPr>
      <w:sz w:val="26"/>
      <w:szCs w:val="26"/>
      <w:lang w:val="fr-CH" w:eastAsia="fr-CH"/>
    </w:rPr>
  </w:style>
  <w:style w:type="character" w:customStyle="1" w:styleId="optxtulglos3">
    <w:name w:val="op_txt_ul_glos3"/>
    <w:rsid w:val="00707E66"/>
    <w:rPr>
      <w:color w:val="1D59C2"/>
      <w:u w:val="single"/>
    </w:rPr>
  </w:style>
  <w:style w:type="paragraph" w:styleId="Corpsdetexte">
    <w:name w:val="Body Text"/>
    <w:basedOn w:val="Normal"/>
    <w:link w:val="CorpsdetexteCar"/>
    <w:rsid w:val="00FA2B9F"/>
    <w:pPr>
      <w:autoSpaceDE/>
      <w:autoSpaceDN/>
    </w:pPr>
    <w:rPr>
      <w:rFonts w:cs="Arial"/>
      <w:szCs w:val="20"/>
    </w:rPr>
  </w:style>
  <w:style w:type="character" w:customStyle="1" w:styleId="CorpsdetexteCar">
    <w:name w:val="Corps de texte Car"/>
    <w:link w:val="Corpsdetexte"/>
    <w:rsid w:val="00FA2B9F"/>
    <w:rPr>
      <w:rFonts w:ascii="Arial" w:eastAsia="Times New Roman" w:hAnsi="Arial" w:cs="Arial"/>
      <w:lang w:val="fr-FR" w:eastAsia="fr-FR"/>
    </w:rPr>
  </w:style>
  <w:style w:type="character" w:customStyle="1" w:styleId="alpha">
    <w:name w:val="alpha"/>
    <w:rsid w:val="000029E3"/>
  </w:style>
  <w:style w:type="character" w:customStyle="1" w:styleId="dossier">
    <w:name w:val="dossier"/>
    <w:rsid w:val="00B8077A"/>
  </w:style>
  <w:style w:type="paragraph" w:styleId="Titre">
    <w:name w:val="Title"/>
    <w:basedOn w:val="Titre2"/>
    <w:next w:val="Normal"/>
    <w:link w:val="TitreCar"/>
    <w:uiPriority w:val="10"/>
    <w:qFormat/>
    <w:rsid w:val="000F54EE"/>
    <w:pPr>
      <w:jc w:val="center"/>
    </w:pPr>
    <w:rPr>
      <w:sz w:val="32"/>
      <w:lang w:val="fr-CH"/>
    </w:rPr>
  </w:style>
  <w:style w:type="character" w:customStyle="1" w:styleId="TitreCar">
    <w:name w:val="Titre Car"/>
    <w:basedOn w:val="Policepardfaut"/>
    <w:link w:val="Titre"/>
    <w:uiPriority w:val="10"/>
    <w:rsid w:val="000F54EE"/>
    <w:rPr>
      <w:rFonts w:ascii="Arial" w:eastAsia="Times New Roman" w:hAnsi="Arial" w:cs="Arial"/>
      <w:b/>
      <w:bCs/>
      <w:sz w:val="32"/>
      <w:szCs w:val="28"/>
      <w:lang w:eastAsia="fr-FR"/>
    </w:rPr>
  </w:style>
  <w:style w:type="paragraph" w:styleId="Sous-titre">
    <w:name w:val="Subtitle"/>
    <w:basedOn w:val="Normal"/>
    <w:next w:val="Normal"/>
    <w:link w:val="Sous-titreCar"/>
    <w:uiPriority w:val="11"/>
    <w:qFormat/>
    <w:rsid w:val="00572237"/>
    <w:pPr>
      <w:spacing w:after="360"/>
      <w:jc w:val="center"/>
    </w:pPr>
    <w:rPr>
      <w:rFonts w:cs="Arial"/>
      <w:sz w:val="28"/>
      <w:szCs w:val="28"/>
    </w:rPr>
  </w:style>
  <w:style w:type="character" w:customStyle="1" w:styleId="Sous-titreCar">
    <w:name w:val="Sous-titre Car"/>
    <w:basedOn w:val="Policepardfaut"/>
    <w:link w:val="Sous-titre"/>
    <w:uiPriority w:val="11"/>
    <w:rsid w:val="00572237"/>
    <w:rPr>
      <w:rFonts w:ascii="Arial" w:eastAsia="Times New Roman" w:hAnsi="Arial" w:cs="Arial"/>
      <w:sz w:val="28"/>
      <w:szCs w:val="28"/>
      <w:lang w:val="fr-FR" w:eastAsia="fr-FR"/>
    </w:rPr>
  </w:style>
  <w:style w:type="paragraph" w:customStyle="1" w:styleId="Bibliographie1">
    <w:name w:val="Bibliographie1"/>
    <w:basedOn w:val="Corpsdetexte"/>
    <w:qFormat/>
    <w:rsid w:val="00243904"/>
    <w:pPr>
      <w:spacing w:before="240"/>
    </w:pPr>
    <w:rPr>
      <w:szCs w:val="22"/>
      <w:lang w:val="fr-CH"/>
    </w:rPr>
  </w:style>
  <w:style w:type="paragraph" w:customStyle="1" w:styleId="BibliographieURL">
    <w:name w:val="BibliographieURL"/>
    <w:basedOn w:val="Bibliographie1"/>
    <w:qFormat/>
    <w:rsid w:val="001408EA"/>
    <w:pPr>
      <w:spacing w:before="0"/>
    </w:pPr>
  </w:style>
  <w:style w:type="paragraph" w:styleId="NormalWeb">
    <w:name w:val="Normal (Web)"/>
    <w:basedOn w:val="Normal"/>
    <w:uiPriority w:val="99"/>
    <w:semiHidden/>
    <w:unhideWhenUsed/>
    <w:rsid w:val="0007797F"/>
    <w:pPr>
      <w:autoSpaceDE/>
      <w:autoSpaceDN/>
      <w:spacing w:after="150"/>
      <w:jc w:val="left"/>
    </w:pPr>
    <w:rPr>
      <w:rFonts w:ascii="Times New Roman" w:hAnsi="Times New Roman"/>
      <w:sz w:val="24"/>
      <w:lang w:val="fr-CH" w:eastAsia="fr-CH"/>
    </w:rPr>
  </w:style>
  <w:style w:type="character" w:styleId="Marquedecommentaire">
    <w:name w:val="annotation reference"/>
    <w:basedOn w:val="Policepardfaut"/>
    <w:uiPriority w:val="99"/>
    <w:semiHidden/>
    <w:unhideWhenUsed/>
    <w:rsid w:val="004A2CCD"/>
    <w:rPr>
      <w:sz w:val="16"/>
      <w:szCs w:val="16"/>
    </w:rPr>
  </w:style>
  <w:style w:type="paragraph" w:styleId="Commentaire">
    <w:name w:val="annotation text"/>
    <w:basedOn w:val="Normal"/>
    <w:link w:val="CommentaireCar"/>
    <w:uiPriority w:val="99"/>
    <w:semiHidden/>
    <w:unhideWhenUsed/>
    <w:rsid w:val="004A2CCD"/>
    <w:rPr>
      <w:sz w:val="20"/>
      <w:szCs w:val="20"/>
    </w:rPr>
  </w:style>
  <w:style w:type="character" w:customStyle="1" w:styleId="CommentaireCar">
    <w:name w:val="Commentaire Car"/>
    <w:basedOn w:val="Policepardfaut"/>
    <w:link w:val="Commentaire"/>
    <w:uiPriority w:val="99"/>
    <w:semiHidden/>
    <w:rsid w:val="004A2CCD"/>
    <w:rPr>
      <w:rFonts w:ascii="Arial" w:eastAsia="Times New Roman" w:hAnsi="Arial"/>
      <w:lang w:val="fr-FR" w:eastAsia="fr-FR"/>
    </w:rPr>
  </w:style>
  <w:style w:type="paragraph" w:styleId="Objetducommentaire">
    <w:name w:val="annotation subject"/>
    <w:basedOn w:val="Commentaire"/>
    <w:next w:val="Commentaire"/>
    <w:link w:val="ObjetducommentaireCar"/>
    <w:uiPriority w:val="99"/>
    <w:semiHidden/>
    <w:unhideWhenUsed/>
    <w:rsid w:val="004A2CCD"/>
    <w:rPr>
      <w:b/>
      <w:bCs/>
    </w:rPr>
  </w:style>
  <w:style w:type="character" w:customStyle="1" w:styleId="ObjetducommentaireCar">
    <w:name w:val="Objet du commentaire Car"/>
    <w:basedOn w:val="CommentaireCar"/>
    <w:link w:val="Objetducommentaire"/>
    <w:uiPriority w:val="99"/>
    <w:semiHidden/>
    <w:rsid w:val="004A2CCD"/>
    <w:rPr>
      <w:rFonts w:ascii="Arial" w:eastAsia="Times New Roman" w:hAnsi="Arial"/>
      <w:b/>
      <w:bCs/>
      <w:lang w:val="fr-FR" w:eastAsia="fr-FR"/>
    </w:rPr>
  </w:style>
  <w:style w:type="paragraph" w:customStyle="1" w:styleId="CorpsTexte">
    <w:name w:val="CorpsTexte"/>
    <w:basedOn w:val="Normal"/>
    <w:link w:val="CorpsTexteCar"/>
    <w:qFormat/>
    <w:rsid w:val="00FF6DA6"/>
    <w:pPr>
      <w:spacing w:before="120"/>
    </w:pPr>
  </w:style>
  <w:style w:type="character" w:customStyle="1" w:styleId="CorpsTexteCar">
    <w:name w:val="CorpsTexte Car"/>
    <w:basedOn w:val="Policepardfaut"/>
    <w:link w:val="CorpsTexte"/>
    <w:rsid w:val="00FF6DA6"/>
    <w:rPr>
      <w:rFonts w:ascii="Arial" w:eastAsia="Times New Roman" w:hAnsi="Arial"/>
      <w:sz w:val="22"/>
      <w:szCs w:val="24"/>
      <w:lang w:val="fr-FR" w:eastAsia="fr-FR"/>
    </w:rPr>
  </w:style>
  <w:style w:type="paragraph" w:styleId="Citation">
    <w:name w:val="Quote"/>
    <w:basedOn w:val="Normal"/>
    <w:next w:val="Normal"/>
    <w:link w:val="CitationCar"/>
    <w:uiPriority w:val="29"/>
    <w:qFormat/>
    <w:rsid w:val="006D27EC"/>
    <w:pPr>
      <w:spacing w:before="200" w:after="160"/>
      <w:ind w:left="284" w:right="284"/>
    </w:pPr>
    <w:rPr>
      <w:i/>
      <w:iCs/>
    </w:rPr>
  </w:style>
  <w:style w:type="character" w:customStyle="1" w:styleId="CitationCar">
    <w:name w:val="Citation Car"/>
    <w:basedOn w:val="Policepardfaut"/>
    <w:link w:val="Citation"/>
    <w:uiPriority w:val="29"/>
    <w:rsid w:val="006D27EC"/>
    <w:rPr>
      <w:rFonts w:ascii="Arial" w:eastAsia="Times New Roman" w:hAnsi="Arial"/>
      <w:i/>
      <w:iCs/>
      <w:sz w:val="22"/>
      <w:szCs w:val="24"/>
      <w:lang w:val="fr-FR" w:eastAsia="fr-FR"/>
    </w:rPr>
  </w:style>
  <w:style w:type="paragraph" w:styleId="Lgende">
    <w:name w:val="caption"/>
    <w:basedOn w:val="Normal"/>
    <w:next w:val="Normal"/>
    <w:uiPriority w:val="35"/>
    <w:unhideWhenUsed/>
    <w:qFormat/>
    <w:rsid w:val="003F0F9A"/>
    <w:pPr>
      <w:keepNext/>
      <w:spacing w:before="360" w:after="120"/>
      <w:jc w:val="center"/>
    </w:pPr>
    <w:rPr>
      <w:b/>
      <w:bCs/>
      <w:sz w:val="20"/>
      <w:szCs w:val="20"/>
    </w:rPr>
  </w:style>
  <w:style w:type="paragraph" w:customStyle="1" w:styleId="Source">
    <w:name w:val="Source"/>
    <w:basedOn w:val="CorpsTexte"/>
    <w:qFormat/>
    <w:rsid w:val="001F4B0A"/>
    <w:pPr>
      <w:spacing w:before="0" w:after="120"/>
      <w:jc w:val="right"/>
    </w:pPr>
    <w:rPr>
      <w:sz w:val="20"/>
    </w:rPr>
  </w:style>
  <w:style w:type="character" w:customStyle="1" w:styleId="Titre5Car">
    <w:name w:val="Titre 5 Car"/>
    <w:basedOn w:val="Policepardfaut"/>
    <w:link w:val="Titre5"/>
    <w:uiPriority w:val="9"/>
    <w:rsid w:val="00423BDC"/>
    <w:rPr>
      <w:rFonts w:ascii="Arial" w:eastAsiaTheme="majorEastAsia" w:hAnsi="Arial" w:cstheme="majorBidi"/>
      <w:sz w:val="22"/>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9395">
      <w:bodyDiv w:val="1"/>
      <w:marLeft w:val="0"/>
      <w:marRight w:val="0"/>
      <w:marTop w:val="0"/>
      <w:marBottom w:val="0"/>
      <w:divBdr>
        <w:top w:val="none" w:sz="0" w:space="0" w:color="auto"/>
        <w:left w:val="none" w:sz="0" w:space="0" w:color="auto"/>
        <w:bottom w:val="none" w:sz="0" w:space="0" w:color="auto"/>
        <w:right w:val="none" w:sz="0" w:space="0" w:color="auto"/>
      </w:divBdr>
      <w:divsChild>
        <w:div w:id="1864441695">
          <w:marLeft w:val="2160"/>
          <w:marRight w:val="0"/>
          <w:marTop w:val="96"/>
          <w:marBottom w:val="0"/>
          <w:divBdr>
            <w:top w:val="none" w:sz="0" w:space="0" w:color="auto"/>
            <w:left w:val="none" w:sz="0" w:space="0" w:color="auto"/>
            <w:bottom w:val="none" w:sz="0" w:space="0" w:color="auto"/>
            <w:right w:val="none" w:sz="0" w:space="0" w:color="auto"/>
          </w:divBdr>
        </w:div>
      </w:divsChild>
    </w:div>
    <w:div w:id="22248007">
      <w:bodyDiv w:val="1"/>
      <w:marLeft w:val="0"/>
      <w:marRight w:val="0"/>
      <w:marTop w:val="0"/>
      <w:marBottom w:val="0"/>
      <w:divBdr>
        <w:top w:val="none" w:sz="0" w:space="0" w:color="auto"/>
        <w:left w:val="none" w:sz="0" w:space="0" w:color="auto"/>
        <w:bottom w:val="none" w:sz="0" w:space="0" w:color="auto"/>
        <w:right w:val="none" w:sz="0" w:space="0" w:color="auto"/>
      </w:divBdr>
      <w:divsChild>
        <w:div w:id="1520050472">
          <w:marLeft w:val="0"/>
          <w:marRight w:val="0"/>
          <w:marTop w:val="0"/>
          <w:marBottom w:val="0"/>
          <w:divBdr>
            <w:top w:val="none" w:sz="0" w:space="0" w:color="auto"/>
            <w:left w:val="none" w:sz="0" w:space="0" w:color="auto"/>
            <w:bottom w:val="none" w:sz="0" w:space="0" w:color="auto"/>
            <w:right w:val="none" w:sz="0" w:space="0" w:color="auto"/>
          </w:divBdr>
          <w:divsChild>
            <w:div w:id="512033968">
              <w:marLeft w:val="0"/>
              <w:marRight w:val="0"/>
              <w:marTop w:val="0"/>
              <w:marBottom w:val="0"/>
              <w:divBdr>
                <w:top w:val="none" w:sz="0" w:space="0" w:color="auto"/>
                <w:left w:val="none" w:sz="0" w:space="0" w:color="auto"/>
                <w:bottom w:val="none" w:sz="0" w:space="0" w:color="auto"/>
                <w:right w:val="none" w:sz="0" w:space="0" w:color="auto"/>
              </w:divBdr>
              <w:divsChild>
                <w:div w:id="2144541261">
                  <w:marLeft w:val="436"/>
                  <w:marRight w:val="436"/>
                  <w:marTop w:val="0"/>
                  <w:marBottom w:val="0"/>
                  <w:divBdr>
                    <w:top w:val="none" w:sz="0" w:space="0" w:color="auto"/>
                    <w:left w:val="none" w:sz="0" w:space="0" w:color="auto"/>
                    <w:bottom w:val="none" w:sz="0" w:space="0" w:color="auto"/>
                    <w:right w:val="none" w:sz="0" w:space="0" w:color="auto"/>
                  </w:divBdr>
                  <w:divsChild>
                    <w:div w:id="731538799">
                      <w:marLeft w:val="0"/>
                      <w:marRight w:val="0"/>
                      <w:marTop w:val="0"/>
                      <w:marBottom w:val="0"/>
                      <w:divBdr>
                        <w:top w:val="none" w:sz="0" w:space="0" w:color="auto"/>
                        <w:left w:val="none" w:sz="0" w:space="0" w:color="auto"/>
                        <w:bottom w:val="none" w:sz="0" w:space="0" w:color="auto"/>
                        <w:right w:val="none" w:sz="0" w:space="0" w:color="auto"/>
                      </w:divBdr>
                      <w:divsChild>
                        <w:div w:id="1923906323">
                          <w:marLeft w:val="0"/>
                          <w:marRight w:val="0"/>
                          <w:marTop w:val="0"/>
                          <w:marBottom w:val="0"/>
                          <w:divBdr>
                            <w:top w:val="none" w:sz="0" w:space="0" w:color="auto"/>
                            <w:left w:val="none" w:sz="0" w:space="0" w:color="auto"/>
                            <w:bottom w:val="none" w:sz="0" w:space="0" w:color="auto"/>
                            <w:right w:val="none" w:sz="0" w:space="0" w:color="auto"/>
                          </w:divBdr>
                          <w:divsChild>
                            <w:div w:id="378432923">
                              <w:marLeft w:val="0"/>
                              <w:marRight w:val="0"/>
                              <w:marTop w:val="0"/>
                              <w:marBottom w:val="0"/>
                              <w:divBdr>
                                <w:top w:val="none" w:sz="0" w:space="0" w:color="auto"/>
                                <w:left w:val="none" w:sz="0" w:space="0" w:color="auto"/>
                                <w:bottom w:val="none" w:sz="0" w:space="0" w:color="auto"/>
                                <w:right w:val="none" w:sz="0" w:space="0" w:color="auto"/>
                              </w:divBdr>
                              <w:divsChild>
                                <w:div w:id="42422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289663">
      <w:bodyDiv w:val="1"/>
      <w:marLeft w:val="0"/>
      <w:marRight w:val="0"/>
      <w:marTop w:val="0"/>
      <w:marBottom w:val="0"/>
      <w:divBdr>
        <w:top w:val="none" w:sz="0" w:space="0" w:color="auto"/>
        <w:left w:val="none" w:sz="0" w:space="0" w:color="auto"/>
        <w:bottom w:val="none" w:sz="0" w:space="0" w:color="auto"/>
        <w:right w:val="none" w:sz="0" w:space="0" w:color="auto"/>
      </w:divBdr>
    </w:div>
    <w:div w:id="102386181">
      <w:bodyDiv w:val="1"/>
      <w:marLeft w:val="0"/>
      <w:marRight w:val="0"/>
      <w:marTop w:val="0"/>
      <w:marBottom w:val="0"/>
      <w:divBdr>
        <w:top w:val="none" w:sz="0" w:space="0" w:color="auto"/>
        <w:left w:val="none" w:sz="0" w:space="0" w:color="auto"/>
        <w:bottom w:val="none" w:sz="0" w:space="0" w:color="auto"/>
        <w:right w:val="none" w:sz="0" w:space="0" w:color="auto"/>
      </w:divBdr>
      <w:divsChild>
        <w:div w:id="77597914">
          <w:marLeft w:val="1555"/>
          <w:marRight w:val="0"/>
          <w:marTop w:val="115"/>
          <w:marBottom w:val="0"/>
          <w:divBdr>
            <w:top w:val="none" w:sz="0" w:space="0" w:color="auto"/>
            <w:left w:val="none" w:sz="0" w:space="0" w:color="auto"/>
            <w:bottom w:val="none" w:sz="0" w:space="0" w:color="auto"/>
            <w:right w:val="none" w:sz="0" w:space="0" w:color="auto"/>
          </w:divBdr>
        </w:div>
      </w:divsChild>
    </w:div>
    <w:div w:id="125896947">
      <w:bodyDiv w:val="1"/>
      <w:marLeft w:val="0"/>
      <w:marRight w:val="0"/>
      <w:marTop w:val="0"/>
      <w:marBottom w:val="0"/>
      <w:divBdr>
        <w:top w:val="none" w:sz="0" w:space="0" w:color="auto"/>
        <w:left w:val="none" w:sz="0" w:space="0" w:color="auto"/>
        <w:bottom w:val="none" w:sz="0" w:space="0" w:color="auto"/>
        <w:right w:val="none" w:sz="0" w:space="0" w:color="auto"/>
      </w:divBdr>
      <w:divsChild>
        <w:div w:id="529952749">
          <w:marLeft w:val="1555"/>
          <w:marRight w:val="0"/>
          <w:marTop w:val="115"/>
          <w:marBottom w:val="0"/>
          <w:divBdr>
            <w:top w:val="none" w:sz="0" w:space="0" w:color="auto"/>
            <w:left w:val="none" w:sz="0" w:space="0" w:color="auto"/>
            <w:bottom w:val="none" w:sz="0" w:space="0" w:color="auto"/>
            <w:right w:val="none" w:sz="0" w:space="0" w:color="auto"/>
          </w:divBdr>
        </w:div>
        <w:div w:id="999622490">
          <w:marLeft w:val="1555"/>
          <w:marRight w:val="0"/>
          <w:marTop w:val="115"/>
          <w:marBottom w:val="0"/>
          <w:divBdr>
            <w:top w:val="none" w:sz="0" w:space="0" w:color="auto"/>
            <w:left w:val="none" w:sz="0" w:space="0" w:color="auto"/>
            <w:bottom w:val="none" w:sz="0" w:space="0" w:color="auto"/>
            <w:right w:val="none" w:sz="0" w:space="0" w:color="auto"/>
          </w:divBdr>
        </w:div>
        <w:div w:id="1512069250">
          <w:marLeft w:val="1555"/>
          <w:marRight w:val="0"/>
          <w:marTop w:val="115"/>
          <w:marBottom w:val="0"/>
          <w:divBdr>
            <w:top w:val="none" w:sz="0" w:space="0" w:color="auto"/>
            <w:left w:val="none" w:sz="0" w:space="0" w:color="auto"/>
            <w:bottom w:val="none" w:sz="0" w:space="0" w:color="auto"/>
            <w:right w:val="none" w:sz="0" w:space="0" w:color="auto"/>
          </w:divBdr>
        </w:div>
        <w:div w:id="1912614262">
          <w:marLeft w:val="965"/>
          <w:marRight w:val="0"/>
          <w:marTop w:val="134"/>
          <w:marBottom w:val="0"/>
          <w:divBdr>
            <w:top w:val="none" w:sz="0" w:space="0" w:color="auto"/>
            <w:left w:val="none" w:sz="0" w:space="0" w:color="auto"/>
            <w:bottom w:val="none" w:sz="0" w:space="0" w:color="auto"/>
            <w:right w:val="none" w:sz="0" w:space="0" w:color="auto"/>
          </w:divBdr>
        </w:div>
      </w:divsChild>
    </w:div>
    <w:div w:id="191305092">
      <w:bodyDiv w:val="1"/>
      <w:marLeft w:val="0"/>
      <w:marRight w:val="0"/>
      <w:marTop w:val="0"/>
      <w:marBottom w:val="0"/>
      <w:divBdr>
        <w:top w:val="none" w:sz="0" w:space="0" w:color="auto"/>
        <w:left w:val="none" w:sz="0" w:space="0" w:color="auto"/>
        <w:bottom w:val="none" w:sz="0" w:space="0" w:color="auto"/>
        <w:right w:val="none" w:sz="0" w:space="0" w:color="auto"/>
      </w:divBdr>
      <w:divsChild>
        <w:div w:id="125975413">
          <w:marLeft w:val="0"/>
          <w:marRight w:val="0"/>
          <w:marTop w:val="0"/>
          <w:marBottom w:val="0"/>
          <w:divBdr>
            <w:top w:val="none" w:sz="0" w:space="0" w:color="auto"/>
            <w:left w:val="none" w:sz="0" w:space="0" w:color="auto"/>
            <w:bottom w:val="none" w:sz="0" w:space="0" w:color="auto"/>
            <w:right w:val="none" w:sz="0" w:space="0" w:color="auto"/>
          </w:divBdr>
          <w:divsChild>
            <w:div w:id="448747293">
              <w:marLeft w:val="0"/>
              <w:marRight w:val="0"/>
              <w:marTop w:val="0"/>
              <w:marBottom w:val="0"/>
              <w:divBdr>
                <w:top w:val="none" w:sz="0" w:space="0" w:color="auto"/>
                <w:left w:val="none" w:sz="0" w:space="0" w:color="auto"/>
                <w:bottom w:val="none" w:sz="0" w:space="0" w:color="auto"/>
                <w:right w:val="none" w:sz="0" w:space="0" w:color="auto"/>
              </w:divBdr>
              <w:divsChild>
                <w:div w:id="1486823190">
                  <w:marLeft w:val="0"/>
                  <w:marRight w:val="0"/>
                  <w:marTop w:val="0"/>
                  <w:marBottom w:val="0"/>
                  <w:divBdr>
                    <w:top w:val="none" w:sz="0" w:space="0" w:color="auto"/>
                    <w:left w:val="none" w:sz="0" w:space="0" w:color="auto"/>
                    <w:bottom w:val="none" w:sz="0" w:space="0" w:color="auto"/>
                    <w:right w:val="none" w:sz="0" w:space="0" w:color="auto"/>
                  </w:divBdr>
                  <w:divsChild>
                    <w:div w:id="17573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71825">
      <w:bodyDiv w:val="1"/>
      <w:marLeft w:val="0"/>
      <w:marRight w:val="0"/>
      <w:marTop w:val="0"/>
      <w:marBottom w:val="0"/>
      <w:divBdr>
        <w:top w:val="none" w:sz="0" w:space="0" w:color="auto"/>
        <w:left w:val="none" w:sz="0" w:space="0" w:color="auto"/>
        <w:bottom w:val="none" w:sz="0" w:space="0" w:color="auto"/>
        <w:right w:val="none" w:sz="0" w:space="0" w:color="auto"/>
      </w:divBdr>
    </w:div>
    <w:div w:id="199518767">
      <w:bodyDiv w:val="1"/>
      <w:marLeft w:val="0"/>
      <w:marRight w:val="0"/>
      <w:marTop w:val="0"/>
      <w:marBottom w:val="0"/>
      <w:divBdr>
        <w:top w:val="none" w:sz="0" w:space="0" w:color="auto"/>
        <w:left w:val="none" w:sz="0" w:space="0" w:color="auto"/>
        <w:bottom w:val="none" w:sz="0" w:space="0" w:color="auto"/>
        <w:right w:val="none" w:sz="0" w:space="0" w:color="auto"/>
      </w:divBdr>
      <w:divsChild>
        <w:div w:id="781993034">
          <w:marLeft w:val="907"/>
          <w:marRight w:val="0"/>
          <w:marTop w:val="120"/>
          <w:marBottom w:val="0"/>
          <w:divBdr>
            <w:top w:val="none" w:sz="0" w:space="0" w:color="auto"/>
            <w:left w:val="none" w:sz="0" w:space="0" w:color="auto"/>
            <w:bottom w:val="none" w:sz="0" w:space="0" w:color="auto"/>
            <w:right w:val="none" w:sz="0" w:space="0" w:color="auto"/>
          </w:divBdr>
        </w:div>
        <w:div w:id="888106983">
          <w:marLeft w:val="907"/>
          <w:marRight w:val="0"/>
          <w:marTop w:val="120"/>
          <w:marBottom w:val="0"/>
          <w:divBdr>
            <w:top w:val="none" w:sz="0" w:space="0" w:color="auto"/>
            <w:left w:val="none" w:sz="0" w:space="0" w:color="auto"/>
            <w:bottom w:val="none" w:sz="0" w:space="0" w:color="auto"/>
            <w:right w:val="none" w:sz="0" w:space="0" w:color="auto"/>
          </w:divBdr>
        </w:div>
        <w:div w:id="2068676487">
          <w:marLeft w:val="907"/>
          <w:marRight w:val="0"/>
          <w:marTop w:val="120"/>
          <w:marBottom w:val="0"/>
          <w:divBdr>
            <w:top w:val="none" w:sz="0" w:space="0" w:color="auto"/>
            <w:left w:val="none" w:sz="0" w:space="0" w:color="auto"/>
            <w:bottom w:val="none" w:sz="0" w:space="0" w:color="auto"/>
            <w:right w:val="none" w:sz="0" w:space="0" w:color="auto"/>
          </w:divBdr>
        </w:div>
        <w:div w:id="1610430494">
          <w:marLeft w:val="907"/>
          <w:marRight w:val="0"/>
          <w:marTop w:val="120"/>
          <w:marBottom w:val="0"/>
          <w:divBdr>
            <w:top w:val="none" w:sz="0" w:space="0" w:color="auto"/>
            <w:left w:val="none" w:sz="0" w:space="0" w:color="auto"/>
            <w:bottom w:val="none" w:sz="0" w:space="0" w:color="auto"/>
            <w:right w:val="none" w:sz="0" w:space="0" w:color="auto"/>
          </w:divBdr>
        </w:div>
        <w:div w:id="1258369655">
          <w:marLeft w:val="907"/>
          <w:marRight w:val="0"/>
          <w:marTop w:val="120"/>
          <w:marBottom w:val="0"/>
          <w:divBdr>
            <w:top w:val="none" w:sz="0" w:space="0" w:color="auto"/>
            <w:left w:val="none" w:sz="0" w:space="0" w:color="auto"/>
            <w:bottom w:val="none" w:sz="0" w:space="0" w:color="auto"/>
            <w:right w:val="none" w:sz="0" w:space="0" w:color="auto"/>
          </w:divBdr>
        </w:div>
        <w:div w:id="1316035966">
          <w:marLeft w:val="907"/>
          <w:marRight w:val="0"/>
          <w:marTop w:val="120"/>
          <w:marBottom w:val="0"/>
          <w:divBdr>
            <w:top w:val="none" w:sz="0" w:space="0" w:color="auto"/>
            <w:left w:val="none" w:sz="0" w:space="0" w:color="auto"/>
            <w:bottom w:val="none" w:sz="0" w:space="0" w:color="auto"/>
            <w:right w:val="none" w:sz="0" w:space="0" w:color="auto"/>
          </w:divBdr>
        </w:div>
      </w:divsChild>
    </w:div>
    <w:div w:id="277565239">
      <w:bodyDiv w:val="1"/>
      <w:marLeft w:val="0"/>
      <w:marRight w:val="0"/>
      <w:marTop w:val="0"/>
      <w:marBottom w:val="0"/>
      <w:divBdr>
        <w:top w:val="none" w:sz="0" w:space="0" w:color="auto"/>
        <w:left w:val="none" w:sz="0" w:space="0" w:color="auto"/>
        <w:bottom w:val="none" w:sz="0" w:space="0" w:color="auto"/>
        <w:right w:val="none" w:sz="0" w:space="0" w:color="auto"/>
      </w:divBdr>
    </w:div>
    <w:div w:id="311908593">
      <w:bodyDiv w:val="1"/>
      <w:marLeft w:val="0"/>
      <w:marRight w:val="0"/>
      <w:marTop w:val="0"/>
      <w:marBottom w:val="0"/>
      <w:divBdr>
        <w:top w:val="none" w:sz="0" w:space="0" w:color="auto"/>
        <w:left w:val="none" w:sz="0" w:space="0" w:color="auto"/>
        <w:bottom w:val="none" w:sz="0" w:space="0" w:color="auto"/>
        <w:right w:val="none" w:sz="0" w:space="0" w:color="auto"/>
      </w:divBdr>
      <w:divsChild>
        <w:div w:id="932736849">
          <w:marLeft w:val="2160"/>
          <w:marRight w:val="0"/>
          <w:marTop w:val="96"/>
          <w:marBottom w:val="0"/>
          <w:divBdr>
            <w:top w:val="none" w:sz="0" w:space="0" w:color="auto"/>
            <w:left w:val="none" w:sz="0" w:space="0" w:color="auto"/>
            <w:bottom w:val="none" w:sz="0" w:space="0" w:color="auto"/>
            <w:right w:val="none" w:sz="0" w:space="0" w:color="auto"/>
          </w:divBdr>
        </w:div>
        <w:div w:id="1975018066">
          <w:marLeft w:val="2160"/>
          <w:marRight w:val="0"/>
          <w:marTop w:val="96"/>
          <w:marBottom w:val="0"/>
          <w:divBdr>
            <w:top w:val="none" w:sz="0" w:space="0" w:color="auto"/>
            <w:left w:val="none" w:sz="0" w:space="0" w:color="auto"/>
            <w:bottom w:val="none" w:sz="0" w:space="0" w:color="auto"/>
            <w:right w:val="none" w:sz="0" w:space="0" w:color="auto"/>
          </w:divBdr>
        </w:div>
        <w:div w:id="1981962354">
          <w:marLeft w:val="2160"/>
          <w:marRight w:val="0"/>
          <w:marTop w:val="96"/>
          <w:marBottom w:val="0"/>
          <w:divBdr>
            <w:top w:val="none" w:sz="0" w:space="0" w:color="auto"/>
            <w:left w:val="none" w:sz="0" w:space="0" w:color="auto"/>
            <w:bottom w:val="none" w:sz="0" w:space="0" w:color="auto"/>
            <w:right w:val="none" w:sz="0" w:space="0" w:color="auto"/>
          </w:divBdr>
        </w:div>
      </w:divsChild>
    </w:div>
    <w:div w:id="316154909">
      <w:bodyDiv w:val="1"/>
      <w:marLeft w:val="0"/>
      <w:marRight w:val="0"/>
      <w:marTop w:val="0"/>
      <w:marBottom w:val="0"/>
      <w:divBdr>
        <w:top w:val="none" w:sz="0" w:space="0" w:color="auto"/>
        <w:left w:val="none" w:sz="0" w:space="0" w:color="auto"/>
        <w:bottom w:val="none" w:sz="0" w:space="0" w:color="auto"/>
        <w:right w:val="none" w:sz="0" w:space="0" w:color="auto"/>
      </w:divBdr>
      <w:divsChild>
        <w:div w:id="421531836">
          <w:marLeft w:val="0"/>
          <w:marRight w:val="0"/>
          <w:marTop w:val="0"/>
          <w:marBottom w:val="0"/>
          <w:divBdr>
            <w:top w:val="none" w:sz="0" w:space="0" w:color="auto"/>
            <w:left w:val="none" w:sz="0" w:space="0" w:color="auto"/>
            <w:bottom w:val="none" w:sz="0" w:space="0" w:color="auto"/>
            <w:right w:val="none" w:sz="0" w:space="0" w:color="auto"/>
          </w:divBdr>
          <w:divsChild>
            <w:div w:id="1970432525">
              <w:marLeft w:val="0"/>
              <w:marRight w:val="0"/>
              <w:marTop w:val="0"/>
              <w:marBottom w:val="0"/>
              <w:divBdr>
                <w:top w:val="none" w:sz="0" w:space="0" w:color="auto"/>
                <w:left w:val="none" w:sz="0" w:space="0" w:color="auto"/>
                <w:bottom w:val="none" w:sz="0" w:space="0" w:color="auto"/>
                <w:right w:val="none" w:sz="0" w:space="0" w:color="auto"/>
              </w:divBdr>
              <w:divsChild>
                <w:div w:id="1562129855">
                  <w:marLeft w:val="965"/>
                  <w:marRight w:val="965"/>
                  <w:marTop w:val="0"/>
                  <w:marBottom w:val="0"/>
                  <w:divBdr>
                    <w:top w:val="none" w:sz="0" w:space="0" w:color="auto"/>
                    <w:left w:val="none" w:sz="0" w:space="0" w:color="auto"/>
                    <w:bottom w:val="none" w:sz="0" w:space="0" w:color="auto"/>
                    <w:right w:val="none" w:sz="0" w:space="0" w:color="auto"/>
                  </w:divBdr>
                  <w:divsChild>
                    <w:div w:id="649865271">
                      <w:marLeft w:val="0"/>
                      <w:marRight w:val="0"/>
                      <w:marTop w:val="0"/>
                      <w:marBottom w:val="0"/>
                      <w:divBdr>
                        <w:top w:val="none" w:sz="0" w:space="0" w:color="auto"/>
                        <w:left w:val="none" w:sz="0" w:space="0" w:color="auto"/>
                        <w:bottom w:val="none" w:sz="0" w:space="0" w:color="auto"/>
                        <w:right w:val="none" w:sz="0" w:space="0" w:color="auto"/>
                      </w:divBdr>
                      <w:divsChild>
                        <w:div w:id="977338826">
                          <w:marLeft w:val="0"/>
                          <w:marRight w:val="0"/>
                          <w:marTop w:val="0"/>
                          <w:marBottom w:val="0"/>
                          <w:divBdr>
                            <w:top w:val="none" w:sz="0" w:space="0" w:color="auto"/>
                            <w:left w:val="none" w:sz="0" w:space="0" w:color="auto"/>
                            <w:bottom w:val="none" w:sz="0" w:space="0" w:color="auto"/>
                            <w:right w:val="none" w:sz="0" w:space="0" w:color="auto"/>
                          </w:divBdr>
                          <w:divsChild>
                            <w:div w:id="26835438">
                              <w:marLeft w:val="0"/>
                              <w:marRight w:val="0"/>
                              <w:marTop w:val="0"/>
                              <w:marBottom w:val="0"/>
                              <w:divBdr>
                                <w:top w:val="none" w:sz="0" w:space="0" w:color="auto"/>
                                <w:left w:val="none" w:sz="0" w:space="0" w:color="auto"/>
                                <w:bottom w:val="none" w:sz="0" w:space="0" w:color="auto"/>
                                <w:right w:val="none" w:sz="0" w:space="0" w:color="auto"/>
                              </w:divBdr>
                              <w:divsChild>
                                <w:div w:id="5570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6999883">
      <w:bodyDiv w:val="1"/>
      <w:marLeft w:val="0"/>
      <w:marRight w:val="0"/>
      <w:marTop w:val="0"/>
      <w:marBottom w:val="0"/>
      <w:divBdr>
        <w:top w:val="none" w:sz="0" w:space="0" w:color="auto"/>
        <w:left w:val="none" w:sz="0" w:space="0" w:color="auto"/>
        <w:bottom w:val="none" w:sz="0" w:space="0" w:color="auto"/>
        <w:right w:val="none" w:sz="0" w:space="0" w:color="auto"/>
      </w:divBdr>
    </w:div>
    <w:div w:id="418990844">
      <w:bodyDiv w:val="1"/>
      <w:marLeft w:val="0"/>
      <w:marRight w:val="0"/>
      <w:marTop w:val="0"/>
      <w:marBottom w:val="0"/>
      <w:divBdr>
        <w:top w:val="none" w:sz="0" w:space="0" w:color="auto"/>
        <w:left w:val="none" w:sz="0" w:space="0" w:color="auto"/>
        <w:bottom w:val="none" w:sz="0" w:space="0" w:color="auto"/>
        <w:right w:val="none" w:sz="0" w:space="0" w:color="auto"/>
      </w:divBdr>
      <w:divsChild>
        <w:div w:id="808353778">
          <w:marLeft w:val="1555"/>
          <w:marRight w:val="0"/>
          <w:marTop w:val="115"/>
          <w:marBottom w:val="0"/>
          <w:divBdr>
            <w:top w:val="none" w:sz="0" w:space="0" w:color="auto"/>
            <w:left w:val="none" w:sz="0" w:space="0" w:color="auto"/>
            <w:bottom w:val="none" w:sz="0" w:space="0" w:color="auto"/>
            <w:right w:val="none" w:sz="0" w:space="0" w:color="auto"/>
          </w:divBdr>
        </w:div>
      </w:divsChild>
    </w:div>
    <w:div w:id="583993993">
      <w:bodyDiv w:val="1"/>
      <w:marLeft w:val="0"/>
      <w:marRight w:val="0"/>
      <w:marTop w:val="0"/>
      <w:marBottom w:val="0"/>
      <w:divBdr>
        <w:top w:val="none" w:sz="0" w:space="0" w:color="auto"/>
        <w:left w:val="none" w:sz="0" w:space="0" w:color="auto"/>
        <w:bottom w:val="none" w:sz="0" w:space="0" w:color="auto"/>
        <w:right w:val="none" w:sz="0" w:space="0" w:color="auto"/>
      </w:divBdr>
    </w:div>
    <w:div w:id="650523496">
      <w:bodyDiv w:val="1"/>
      <w:marLeft w:val="0"/>
      <w:marRight w:val="0"/>
      <w:marTop w:val="0"/>
      <w:marBottom w:val="0"/>
      <w:divBdr>
        <w:top w:val="none" w:sz="0" w:space="0" w:color="auto"/>
        <w:left w:val="none" w:sz="0" w:space="0" w:color="auto"/>
        <w:bottom w:val="none" w:sz="0" w:space="0" w:color="auto"/>
        <w:right w:val="none" w:sz="0" w:space="0" w:color="auto"/>
      </w:divBdr>
      <w:divsChild>
        <w:div w:id="2090302921">
          <w:marLeft w:val="0"/>
          <w:marRight w:val="0"/>
          <w:marTop w:val="0"/>
          <w:marBottom w:val="0"/>
          <w:divBdr>
            <w:top w:val="none" w:sz="0" w:space="0" w:color="auto"/>
            <w:left w:val="none" w:sz="0" w:space="0" w:color="auto"/>
            <w:bottom w:val="none" w:sz="0" w:space="0" w:color="auto"/>
            <w:right w:val="none" w:sz="0" w:space="0" w:color="auto"/>
          </w:divBdr>
          <w:divsChild>
            <w:div w:id="1800107897">
              <w:marLeft w:val="0"/>
              <w:marRight w:val="0"/>
              <w:marTop w:val="0"/>
              <w:marBottom w:val="0"/>
              <w:divBdr>
                <w:top w:val="none" w:sz="0" w:space="0" w:color="auto"/>
                <w:left w:val="none" w:sz="0" w:space="0" w:color="auto"/>
                <w:bottom w:val="none" w:sz="0" w:space="0" w:color="auto"/>
                <w:right w:val="none" w:sz="0" w:space="0" w:color="auto"/>
              </w:divBdr>
              <w:divsChild>
                <w:div w:id="1875190569">
                  <w:marLeft w:val="0"/>
                  <w:marRight w:val="0"/>
                  <w:marTop w:val="0"/>
                  <w:marBottom w:val="0"/>
                  <w:divBdr>
                    <w:top w:val="none" w:sz="0" w:space="0" w:color="auto"/>
                    <w:left w:val="none" w:sz="0" w:space="0" w:color="auto"/>
                    <w:bottom w:val="none" w:sz="0" w:space="0" w:color="auto"/>
                    <w:right w:val="none" w:sz="0" w:space="0" w:color="auto"/>
                  </w:divBdr>
                  <w:divsChild>
                    <w:div w:id="628515149">
                      <w:marLeft w:val="0"/>
                      <w:marRight w:val="0"/>
                      <w:marTop w:val="0"/>
                      <w:marBottom w:val="0"/>
                      <w:divBdr>
                        <w:top w:val="none" w:sz="0" w:space="0" w:color="auto"/>
                        <w:left w:val="none" w:sz="0" w:space="0" w:color="auto"/>
                        <w:bottom w:val="none" w:sz="0" w:space="0" w:color="auto"/>
                        <w:right w:val="none" w:sz="0" w:space="0" w:color="auto"/>
                      </w:divBdr>
                      <w:divsChild>
                        <w:div w:id="1760564803">
                          <w:marLeft w:val="0"/>
                          <w:marRight w:val="0"/>
                          <w:marTop w:val="0"/>
                          <w:marBottom w:val="0"/>
                          <w:divBdr>
                            <w:top w:val="none" w:sz="0" w:space="0" w:color="auto"/>
                            <w:left w:val="none" w:sz="0" w:space="0" w:color="auto"/>
                            <w:bottom w:val="none" w:sz="0" w:space="0" w:color="auto"/>
                            <w:right w:val="none" w:sz="0" w:space="0" w:color="auto"/>
                          </w:divBdr>
                          <w:divsChild>
                            <w:div w:id="289166741">
                              <w:marLeft w:val="240"/>
                              <w:marRight w:val="240"/>
                              <w:marTop w:val="312"/>
                              <w:marBottom w:val="312"/>
                              <w:divBdr>
                                <w:top w:val="none" w:sz="0" w:space="0" w:color="auto"/>
                                <w:left w:val="none" w:sz="0" w:space="0" w:color="auto"/>
                                <w:bottom w:val="none" w:sz="0" w:space="0" w:color="auto"/>
                                <w:right w:val="none" w:sz="0" w:space="0" w:color="auto"/>
                              </w:divBdr>
                              <w:divsChild>
                                <w:div w:id="1751654051">
                                  <w:marLeft w:val="0"/>
                                  <w:marRight w:val="0"/>
                                  <w:marTop w:val="0"/>
                                  <w:marBottom w:val="0"/>
                                  <w:divBdr>
                                    <w:top w:val="none" w:sz="0" w:space="0" w:color="auto"/>
                                    <w:left w:val="none" w:sz="0" w:space="0" w:color="auto"/>
                                    <w:bottom w:val="none" w:sz="0" w:space="0" w:color="auto"/>
                                    <w:right w:val="none" w:sz="0" w:space="0" w:color="auto"/>
                                  </w:divBdr>
                                </w:div>
                                <w:div w:id="1782338526">
                                  <w:marLeft w:val="0"/>
                                  <w:marRight w:val="0"/>
                                  <w:marTop w:val="0"/>
                                  <w:marBottom w:val="0"/>
                                  <w:divBdr>
                                    <w:top w:val="single" w:sz="6" w:space="0" w:color="7D98CB"/>
                                    <w:left w:val="single" w:sz="6" w:space="0" w:color="7D98CB"/>
                                    <w:bottom w:val="single" w:sz="6" w:space="0" w:color="7D98CB"/>
                                    <w:right w:val="single" w:sz="6" w:space="0" w:color="7D98CB"/>
                                  </w:divBdr>
                                </w:div>
                              </w:divsChild>
                            </w:div>
                            <w:div w:id="1041631664">
                              <w:marLeft w:val="240"/>
                              <w:marRight w:val="240"/>
                              <w:marTop w:val="312"/>
                              <w:marBottom w:val="312"/>
                              <w:divBdr>
                                <w:top w:val="none" w:sz="0" w:space="0" w:color="auto"/>
                                <w:left w:val="none" w:sz="0" w:space="0" w:color="auto"/>
                                <w:bottom w:val="none" w:sz="0" w:space="0" w:color="auto"/>
                                <w:right w:val="none" w:sz="0" w:space="0" w:color="auto"/>
                              </w:divBdr>
                              <w:divsChild>
                                <w:div w:id="812526607">
                                  <w:marLeft w:val="0"/>
                                  <w:marRight w:val="0"/>
                                  <w:marTop w:val="0"/>
                                  <w:marBottom w:val="0"/>
                                  <w:divBdr>
                                    <w:top w:val="single" w:sz="6" w:space="0" w:color="7D98CB"/>
                                    <w:left w:val="single" w:sz="6" w:space="0" w:color="7D98CB"/>
                                    <w:bottom w:val="single" w:sz="6" w:space="0" w:color="7D98CB"/>
                                    <w:right w:val="single" w:sz="6" w:space="0" w:color="7D98CB"/>
                                  </w:divBdr>
                                </w:div>
                                <w:div w:id="875776540">
                                  <w:marLeft w:val="0"/>
                                  <w:marRight w:val="0"/>
                                  <w:marTop w:val="0"/>
                                  <w:marBottom w:val="0"/>
                                  <w:divBdr>
                                    <w:top w:val="none" w:sz="0" w:space="0" w:color="auto"/>
                                    <w:left w:val="none" w:sz="0" w:space="0" w:color="auto"/>
                                    <w:bottom w:val="none" w:sz="0" w:space="0" w:color="auto"/>
                                    <w:right w:val="none" w:sz="0" w:space="0" w:color="auto"/>
                                  </w:divBdr>
                                </w:div>
                              </w:divsChild>
                            </w:div>
                            <w:div w:id="1597324138">
                              <w:marLeft w:val="0"/>
                              <w:marRight w:val="0"/>
                              <w:marTop w:val="0"/>
                              <w:marBottom w:val="0"/>
                              <w:divBdr>
                                <w:top w:val="none" w:sz="0" w:space="0" w:color="auto"/>
                                <w:left w:val="none" w:sz="0" w:space="0" w:color="auto"/>
                                <w:bottom w:val="none" w:sz="0" w:space="0" w:color="auto"/>
                                <w:right w:val="none" w:sz="0" w:space="0" w:color="auto"/>
                              </w:divBdr>
                              <w:divsChild>
                                <w:div w:id="1946377258">
                                  <w:marLeft w:val="240"/>
                                  <w:marRight w:val="240"/>
                                  <w:marTop w:val="240"/>
                                  <w:marBottom w:val="240"/>
                                  <w:divBdr>
                                    <w:top w:val="none" w:sz="0" w:space="0" w:color="auto"/>
                                    <w:left w:val="none" w:sz="0" w:space="0" w:color="auto"/>
                                    <w:bottom w:val="none" w:sz="0" w:space="0" w:color="auto"/>
                                    <w:right w:val="none" w:sz="0" w:space="0" w:color="auto"/>
                                  </w:divBdr>
                                  <w:divsChild>
                                    <w:div w:id="619730295">
                                      <w:marLeft w:val="0"/>
                                      <w:marRight w:val="0"/>
                                      <w:marTop w:val="0"/>
                                      <w:marBottom w:val="0"/>
                                      <w:divBdr>
                                        <w:top w:val="none" w:sz="0" w:space="0" w:color="auto"/>
                                        <w:left w:val="none" w:sz="0" w:space="0" w:color="auto"/>
                                        <w:bottom w:val="none" w:sz="0" w:space="0" w:color="auto"/>
                                        <w:right w:val="none" w:sz="0" w:space="0" w:color="auto"/>
                                      </w:divBdr>
                                    </w:div>
                                    <w:div w:id="15281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559052">
      <w:bodyDiv w:val="1"/>
      <w:marLeft w:val="0"/>
      <w:marRight w:val="0"/>
      <w:marTop w:val="0"/>
      <w:marBottom w:val="0"/>
      <w:divBdr>
        <w:top w:val="none" w:sz="0" w:space="0" w:color="auto"/>
        <w:left w:val="none" w:sz="0" w:space="0" w:color="auto"/>
        <w:bottom w:val="none" w:sz="0" w:space="0" w:color="auto"/>
        <w:right w:val="none" w:sz="0" w:space="0" w:color="auto"/>
      </w:divBdr>
    </w:div>
    <w:div w:id="797115266">
      <w:bodyDiv w:val="1"/>
      <w:marLeft w:val="0"/>
      <w:marRight w:val="0"/>
      <w:marTop w:val="0"/>
      <w:marBottom w:val="0"/>
      <w:divBdr>
        <w:top w:val="none" w:sz="0" w:space="0" w:color="auto"/>
        <w:left w:val="none" w:sz="0" w:space="0" w:color="auto"/>
        <w:bottom w:val="none" w:sz="0" w:space="0" w:color="auto"/>
        <w:right w:val="none" w:sz="0" w:space="0" w:color="auto"/>
      </w:divBdr>
      <w:divsChild>
        <w:div w:id="274410343">
          <w:marLeft w:val="360"/>
          <w:marRight w:val="0"/>
          <w:marTop w:val="200"/>
          <w:marBottom w:val="0"/>
          <w:divBdr>
            <w:top w:val="none" w:sz="0" w:space="0" w:color="auto"/>
            <w:left w:val="none" w:sz="0" w:space="0" w:color="auto"/>
            <w:bottom w:val="none" w:sz="0" w:space="0" w:color="auto"/>
            <w:right w:val="none" w:sz="0" w:space="0" w:color="auto"/>
          </w:divBdr>
        </w:div>
      </w:divsChild>
    </w:div>
    <w:div w:id="804084304">
      <w:bodyDiv w:val="1"/>
      <w:marLeft w:val="0"/>
      <w:marRight w:val="0"/>
      <w:marTop w:val="0"/>
      <w:marBottom w:val="0"/>
      <w:divBdr>
        <w:top w:val="none" w:sz="0" w:space="0" w:color="auto"/>
        <w:left w:val="none" w:sz="0" w:space="0" w:color="auto"/>
        <w:bottom w:val="none" w:sz="0" w:space="0" w:color="auto"/>
        <w:right w:val="none" w:sz="0" w:space="0" w:color="auto"/>
      </w:divBdr>
    </w:div>
    <w:div w:id="815876866">
      <w:bodyDiv w:val="1"/>
      <w:marLeft w:val="0"/>
      <w:marRight w:val="0"/>
      <w:marTop w:val="0"/>
      <w:marBottom w:val="0"/>
      <w:divBdr>
        <w:top w:val="none" w:sz="0" w:space="0" w:color="auto"/>
        <w:left w:val="none" w:sz="0" w:space="0" w:color="auto"/>
        <w:bottom w:val="none" w:sz="0" w:space="0" w:color="auto"/>
        <w:right w:val="none" w:sz="0" w:space="0" w:color="auto"/>
      </w:divBdr>
      <w:divsChild>
        <w:div w:id="398092497">
          <w:marLeft w:val="0"/>
          <w:marRight w:val="0"/>
          <w:marTop w:val="96"/>
          <w:marBottom w:val="0"/>
          <w:divBdr>
            <w:top w:val="none" w:sz="0" w:space="0" w:color="auto"/>
            <w:left w:val="none" w:sz="0" w:space="0" w:color="auto"/>
            <w:bottom w:val="none" w:sz="0" w:space="0" w:color="auto"/>
            <w:right w:val="none" w:sz="0" w:space="0" w:color="auto"/>
          </w:divBdr>
        </w:div>
        <w:div w:id="524683628">
          <w:marLeft w:val="0"/>
          <w:marRight w:val="0"/>
          <w:marTop w:val="96"/>
          <w:marBottom w:val="0"/>
          <w:divBdr>
            <w:top w:val="none" w:sz="0" w:space="0" w:color="auto"/>
            <w:left w:val="none" w:sz="0" w:space="0" w:color="auto"/>
            <w:bottom w:val="none" w:sz="0" w:space="0" w:color="auto"/>
            <w:right w:val="none" w:sz="0" w:space="0" w:color="auto"/>
          </w:divBdr>
        </w:div>
        <w:div w:id="702172842">
          <w:marLeft w:val="0"/>
          <w:marRight w:val="0"/>
          <w:marTop w:val="96"/>
          <w:marBottom w:val="0"/>
          <w:divBdr>
            <w:top w:val="none" w:sz="0" w:space="0" w:color="auto"/>
            <w:left w:val="none" w:sz="0" w:space="0" w:color="auto"/>
            <w:bottom w:val="none" w:sz="0" w:space="0" w:color="auto"/>
            <w:right w:val="none" w:sz="0" w:space="0" w:color="auto"/>
          </w:divBdr>
        </w:div>
      </w:divsChild>
    </w:div>
    <w:div w:id="845941238">
      <w:bodyDiv w:val="1"/>
      <w:marLeft w:val="0"/>
      <w:marRight w:val="0"/>
      <w:marTop w:val="0"/>
      <w:marBottom w:val="0"/>
      <w:divBdr>
        <w:top w:val="none" w:sz="0" w:space="0" w:color="auto"/>
        <w:left w:val="none" w:sz="0" w:space="0" w:color="auto"/>
        <w:bottom w:val="none" w:sz="0" w:space="0" w:color="auto"/>
        <w:right w:val="none" w:sz="0" w:space="0" w:color="auto"/>
      </w:divBdr>
      <w:divsChild>
        <w:div w:id="322392305">
          <w:marLeft w:val="547"/>
          <w:marRight w:val="0"/>
          <w:marTop w:val="106"/>
          <w:marBottom w:val="0"/>
          <w:divBdr>
            <w:top w:val="none" w:sz="0" w:space="0" w:color="auto"/>
            <w:left w:val="none" w:sz="0" w:space="0" w:color="auto"/>
            <w:bottom w:val="none" w:sz="0" w:space="0" w:color="auto"/>
            <w:right w:val="none" w:sz="0" w:space="0" w:color="auto"/>
          </w:divBdr>
        </w:div>
        <w:div w:id="1053238092">
          <w:marLeft w:val="1166"/>
          <w:marRight w:val="0"/>
          <w:marTop w:val="86"/>
          <w:marBottom w:val="0"/>
          <w:divBdr>
            <w:top w:val="none" w:sz="0" w:space="0" w:color="auto"/>
            <w:left w:val="none" w:sz="0" w:space="0" w:color="auto"/>
            <w:bottom w:val="none" w:sz="0" w:space="0" w:color="auto"/>
            <w:right w:val="none" w:sz="0" w:space="0" w:color="auto"/>
          </w:divBdr>
        </w:div>
        <w:div w:id="1210729359">
          <w:marLeft w:val="547"/>
          <w:marRight w:val="0"/>
          <w:marTop w:val="106"/>
          <w:marBottom w:val="0"/>
          <w:divBdr>
            <w:top w:val="none" w:sz="0" w:space="0" w:color="auto"/>
            <w:left w:val="none" w:sz="0" w:space="0" w:color="auto"/>
            <w:bottom w:val="none" w:sz="0" w:space="0" w:color="auto"/>
            <w:right w:val="none" w:sz="0" w:space="0" w:color="auto"/>
          </w:divBdr>
        </w:div>
        <w:div w:id="1769766580">
          <w:marLeft w:val="1166"/>
          <w:marRight w:val="0"/>
          <w:marTop w:val="86"/>
          <w:marBottom w:val="0"/>
          <w:divBdr>
            <w:top w:val="none" w:sz="0" w:space="0" w:color="auto"/>
            <w:left w:val="none" w:sz="0" w:space="0" w:color="auto"/>
            <w:bottom w:val="none" w:sz="0" w:space="0" w:color="auto"/>
            <w:right w:val="none" w:sz="0" w:space="0" w:color="auto"/>
          </w:divBdr>
        </w:div>
      </w:divsChild>
    </w:div>
    <w:div w:id="863401197">
      <w:bodyDiv w:val="1"/>
      <w:marLeft w:val="0"/>
      <w:marRight w:val="0"/>
      <w:marTop w:val="0"/>
      <w:marBottom w:val="0"/>
      <w:divBdr>
        <w:top w:val="none" w:sz="0" w:space="0" w:color="auto"/>
        <w:left w:val="none" w:sz="0" w:space="0" w:color="auto"/>
        <w:bottom w:val="none" w:sz="0" w:space="0" w:color="auto"/>
        <w:right w:val="none" w:sz="0" w:space="0" w:color="auto"/>
      </w:divBdr>
      <w:divsChild>
        <w:div w:id="854341831">
          <w:marLeft w:val="0"/>
          <w:marRight w:val="0"/>
          <w:marTop w:val="0"/>
          <w:marBottom w:val="0"/>
          <w:divBdr>
            <w:top w:val="none" w:sz="0" w:space="0" w:color="auto"/>
            <w:left w:val="none" w:sz="0" w:space="0" w:color="auto"/>
            <w:bottom w:val="none" w:sz="0" w:space="0" w:color="auto"/>
            <w:right w:val="none" w:sz="0" w:space="0" w:color="auto"/>
          </w:divBdr>
          <w:divsChild>
            <w:div w:id="1275213686">
              <w:marLeft w:val="0"/>
              <w:marRight w:val="0"/>
              <w:marTop w:val="0"/>
              <w:marBottom w:val="0"/>
              <w:divBdr>
                <w:top w:val="none" w:sz="0" w:space="0" w:color="auto"/>
                <w:left w:val="none" w:sz="0" w:space="0" w:color="auto"/>
                <w:bottom w:val="none" w:sz="0" w:space="0" w:color="auto"/>
                <w:right w:val="none" w:sz="0" w:space="0" w:color="auto"/>
              </w:divBdr>
              <w:divsChild>
                <w:div w:id="721485983">
                  <w:marLeft w:val="0"/>
                  <w:marRight w:val="0"/>
                  <w:marTop w:val="0"/>
                  <w:marBottom w:val="0"/>
                  <w:divBdr>
                    <w:top w:val="none" w:sz="0" w:space="0" w:color="auto"/>
                    <w:left w:val="none" w:sz="0" w:space="0" w:color="auto"/>
                    <w:bottom w:val="none" w:sz="0" w:space="0" w:color="auto"/>
                    <w:right w:val="none" w:sz="0" w:space="0" w:color="auto"/>
                  </w:divBdr>
                  <w:divsChild>
                    <w:div w:id="555050576">
                      <w:marLeft w:val="0"/>
                      <w:marRight w:val="0"/>
                      <w:marTop w:val="0"/>
                      <w:marBottom w:val="0"/>
                      <w:divBdr>
                        <w:top w:val="none" w:sz="0" w:space="0" w:color="auto"/>
                        <w:left w:val="none" w:sz="0" w:space="0" w:color="auto"/>
                        <w:bottom w:val="none" w:sz="0" w:space="0" w:color="auto"/>
                        <w:right w:val="none" w:sz="0" w:space="0" w:color="auto"/>
                      </w:divBdr>
                      <w:divsChild>
                        <w:div w:id="536741506">
                          <w:marLeft w:val="0"/>
                          <w:marRight w:val="0"/>
                          <w:marTop w:val="0"/>
                          <w:marBottom w:val="0"/>
                          <w:divBdr>
                            <w:top w:val="none" w:sz="0" w:space="0" w:color="auto"/>
                            <w:left w:val="none" w:sz="0" w:space="0" w:color="auto"/>
                            <w:bottom w:val="none" w:sz="0" w:space="0" w:color="auto"/>
                            <w:right w:val="none" w:sz="0" w:space="0" w:color="auto"/>
                          </w:divBdr>
                          <w:divsChild>
                            <w:div w:id="1672638713">
                              <w:marLeft w:val="0"/>
                              <w:marRight w:val="0"/>
                              <w:marTop w:val="0"/>
                              <w:marBottom w:val="0"/>
                              <w:divBdr>
                                <w:top w:val="none" w:sz="0" w:space="0" w:color="auto"/>
                                <w:left w:val="none" w:sz="0" w:space="0" w:color="auto"/>
                                <w:bottom w:val="none" w:sz="0" w:space="0" w:color="auto"/>
                                <w:right w:val="none" w:sz="0" w:space="0" w:color="auto"/>
                              </w:divBdr>
                              <w:divsChild>
                                <w:div w:id="596601561">
                                  <w:marLeft w:val="0"/>
                                  <w:marRight w:val="0"/>
                                  <w:marTop w:val="0"/>
                                  <w:marBottom w:val="0"/>
                                  <w:divBdr>
                                    <w:top w:val="none" w:sz="0" w:space="0" w:color="auto"/>
                                    <w:left w:val="none" w:sz="0" w:space="0" w:color="auto"/>
                                    <w:bottom w:val="none" w:sz="0" w:space="0" w:color="auto"/>
                                    <w:right w:val="none" w:sz="0" w:space="0" w:color="auto"/>
                                  </w:divBdr>
                                </w:div>
                                <w:div w:id="647247567">
                                  <w:marLeft w:val="0"/>
                                  <w:marRight w:val="0"/>
                                  <w:marTop w:val="0"/>
                                  <w:marBottom w:val="0"/>
                                  <w:divBdr>
                                    <w:top w:val="none" w:sz="0" w:space="0" w:color="auto"/>
                                    <w:left w:val="none" w:sz="0" w:space="0" w:color="auto"/>
                                    <w:bottom w:val="none" w:sz="0" w:space="0" w:color="auto"/>
                                    <w:right w:val="none" w:sz="0" w:space="0" w:color="auto"/>
                                  </w:divBdr>
                                </w:div>
                                <w:div w:id="2048721451">
                                  <w:marLeft w:val="0"/>
                                  <w:marRight w:val="0"/>
                                  <w:marTop w:val="0"/>
                                  <w:marBottom w:val="0"/>
                                  <w:divBdr>
                                    <w:top w:val="none" w:sz="0" w:space="0" w:color="auto"/>
                                    <w:left w:val="none" w:sz="0" w:space="0" w:color="auto"/>
                                    <w:bottom w:val="none" w:sz="0" w:space="0" w:color="auto"/>
                                    <w:right w:val="none" w:sz="0" w:space="0" w:color="auto"/>
                                  </w:divBdr>
                                </w:div>
                                <w:div w:id="212719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237645">
      <w:bodyDiv w:val="1"/>
      <w:marLeft w:val="0"/>
      <w:marRight w:val="0"/>
      <w:marTop w:val="0"/>
      <w:marBottom w:val="0"/>
      <w:divBdr>
        <w:top w:val="none" w:sz="0" w:space="0" w:color="auto"/>
        <w:left w:val="none" w:sz="0" w:space="0" w:color="auto"/>
        <w:bottom w:val="none" w:sz="0" w:space="0" w:color="auto"/>
        <w:right w:val="none" w:sz="0" w:space="0" w:color="auto"/>
      </w:divBdr>
      <w:divsChild>
        <w:div w:id="413013008">
          <w:marLeft w:val="1555"/>
          <w:marRight w:val="0"/>
          <w:marTop w:val="115"/>
          <w:marBottom w:val="0"/>
          <w:divBdr>
            <w:top w:val="none" w:sz="0" w:space="0" w:color="auto"/>
            <w:left w:val="none" w:sz="0" w:space="0" w:color="auto"/>
            <w:bottom w:val="none" w:sz="0" w:space="0" w:color="auto"/>
            <w:right w:val="none" w:sz="0" w:space="0" w:color="auto"/>
          </w:divBdr>
        </w:div>
      </w:divsChild>
    </w:div>
    <w:div w:id="937060036">
      <w:bodyDiv w:val="1"/>
      <w:marLeft w:val="0"/>
      <w:marRight w:val="0"/>
      <w:marTop w:val="0"/>
      <w:marBottom w:val="0"/>
      <w:divBdr>
        <w:top w:val="none" w:sz="0" w:space="0" w:color="auto"/>
        <w:left w:val="none" w:sz="0" w:space="0" w:color="auto"/>
        <w:bottom w:val="none" w:sz="0" w:space="0" w:color="auto"/>
        <w:right w:val="none" w:sz="0" w:space="0" w:color="auto"/>
      </w:divBdr>
      <w:divsChild>
        <w:div w:id="330185038">
          <w:marLeft w:val="1555"/>
          <w:marRight w:val="0"/>
          <w:marTop w:val="115"/>
          <w:marBottom w:val="0"/>
          <w:divBdr>
            <w:top w:val="none" w:sz="0" w:space="0" w:color="auto"/>
            <w:left w:val="none" w:sz="0" w:space="0" w:color="auto"/>
            <w:bottom w:val="none" w:sz="0" w:space="0" w:color="auto"/>
            <w:right w:val="none" w:sz="0" w:space="0" w:color="auto"/>
          </w:divBdr>
        </w:div>
        <w:div w:id="670372295">
          <w:marLeft w:val="1555"/>
          <w:marRight w:val="0"/>
          <w:marTop w:val="115"/>
          <w:marBottom w:val="0"/>
          <w:divBdr>
            <w:top w:val="none" w:sz="0" w:space="0" w:color="auto"/>
            <w:left w:val="none" w:sz="0" w:space="0" w:color="auto"/>
            <w:bottom w:val="none" w:sz="0" w:space="0" w:color="auto"/>
            <w:right w:val="none" w:sz="0" w:space="0" w:color="auto"/>
          </w:divBdr>
        </w:div>
        <w:div w:id="1353916406">
          <w:marLeft w:val="1555"/>
          <w:marRight w:val="0"/>
          <w:marTop w:val="115"/>
          <w:marBottom w:val="0"/>
          <w:divBdr>
            <w:top w:val="none" w:sz="0" w:space="0" w:color="auto"/>
            <w:left w:val="none" w:sz="0" w:space="0" w:color="auto"/>
            <w:bottom w:val="none" w:sz="0" w:space="0" w:color="auto"/>
            <w:right w:val="none" w:sz="0" w:space="0" w:color="auto"/>
          </w:divBdr>
        </w:div>
        <w:div w:id="1870027150">
          <w:marLeft w:val="1555"/>
          <w:marRight w:val="0"/>
          <w:marTop w:val="115"/>
          <w:marBottom w:val="0"/>
          <w:divBdr>
            <w:top w:val="none" w:sz="0" w:space="0" w:color="auto"/>
            <w:left w:val="none" w:sz="0" w:space="0" w:color="auto"/>
            <w:bottom w:val="none" w:sz="0" w:space="0" w:color="auto"/>
            <w:right w:val="none" w:sz="0" w:space="0" w:color="auto"/>
          </w:divBdr>
        </w:div>
      </w:divsChild>
    </w:div>
    <w:div w:id="944574715">
      <w:bodyDiv w:val="1"/>
      <w:marLeft w:val="0"/>
      <w:marRight w:val="0"/>
      <w:marTop w:val="0"/>
      <w:marBottom w:val="0"/>
      <w:divBdr>
        <w:top w:val="none" w:sz="0" w:space="0" w:color="auto"/>
        <w:left w:val="none" w:sz="0" w:space="0" w:color="auto"/>
        <w:bottom w:val="none" w:sz="0" w:space="0" w:color="auto"/>
        <w:right w:val="none" w:sz="0" w:space="0" w:color="auto"/>
      </w:divBdr>
      <w:divsChild>
        <w:div w:id="1744989954">
          <w:marLeft w:val="2160"/>
          <w:marRight w:val="0"/>
          <w:marTop w:val="96"/>
          <w:marBottom w:val="0"/>
          <w:divBdr>
            <w:top w:val="none" w:sz="0" w:space="0" w:color="auto"/>
            <w:left w:val="none" w:sz="0" w:space="0" w:color="auto"/>
            <w:bottom w:val="none" w:sz="0" w:space="0" w:color="auto"/>
            <w:right w:val="none" w:sz="0" w:space="0" w:color="auto"/>
          </w:divBdr>
        </w:div>
        <w:div w:id="1781610164">
          <w:marLeft w:val="2160"/>
          <w:marRight w:val="0"/>
          <w:marTop w:val="96"/>
          <w:marBottom w:val="0"/>
          <w:divBdr>
            <w:top w:val="none" w:sz="0" w:space="0" w:color="auto"/>
            <w:left w:val="none" w:sz="0" w:space="0" w:color="auto"/>
            <w:bottom w:val="none" w:sz="0" w:space="0" w:color="auto"/>
            <w:right w:val="none" w:sz="0" w:space="0" w:color="auto"/>
          </w:divBdr>
        </w:div>
        <w:div w:id="2035229452">
          <w:marLeft w:val="2160"/>
          <w:marRight w:val="0"/>
          <w:marTop w:val="96"/>
          <w:marBottom w:val="0"/>
          <w:divBdr>
            <w:top w:val="none" w:sz="0" w:space="0" w:color="auto"/>
            <w:left w:val="none" w:sz="0" w:space="0" w:color="auto"/>
            <w:bottom w:val="none" w:sz="0" w:space="0" w:color="auto"/>
            <w:right w:val="none" w:sz="0" w:space="0" w:color="auto"/>
          </w:divBdr>
        </w:div>
      </w:divsChild>
    </w:div>
    <w:div w:id="972561466">
      <w:bodyDiv w:val="1"/>
      <w:marLeft w:val="0"/>
      <w:marRight w:val="0"/>
      <w:marTop w:val="0"/>
      <w:marBottom w:val="0"/>
      <w:divBdr>
        <w:top w:val="none" w:sz="0" w:space="0" w:color="auto"/>
        <w:left w:val="none" w:sz="0" w:space="0" w:color="auto"/>
        <w:bottom w:val="none" w:sz="0" w:space="0" w:color="auto"/>
        <w:right w:val="none" w:sz="0" w:space="0" w:color="auto"/>
      </w:divBdr>
      <w:divsChild>
        <w:div w:id="120418553">
          <w:marLeft w:val="0"/>
          <w:marRight w:val="0"/>
          <w:marTop w:val="0"/>
          <w:marBottom w:val="0"/>
          <w:divBdr>
            <w:top w:val="none" w:sz="0" w:space="0" w:color="auto"/>
            <w:left w:val="none" w:sz="0" w:space="0" w:color="auto"/>
            <w:bottom w:val="none" w:sz="0" w:space="0" w:color="auto"/>
            <w:right w:val="none" w:sz="0" w:space="0" w:color="auto"/>
          </w:divBdr>
          <w:divsChild>
            <w:div w:id="909535106">
              <w:marLeft w:val="0"/>
              <w:marRight w:val="0"/>
              <w:marTop w:val="0"/>
              <w:marBottom w:val="0"/>
              <w:divBdr>
                <w:top w:val="none" w:sz="0" w:space="0" w:color="auto"/>
                <w:left w:val="none" w:sz="0" w:space="0" w:color="auto"/>
                <w:bottom w:val="none" w:sz="0" w:space="0" w:color="auto"/>
                <w:right w:val="none" w:sz="0" w:space="0" w:color="auto"/>
              </w:divBdr>
              <w:divsChild>
                <w:div w:id="135803929">
                  <w:marLeft w:val="0"/>
                  <w:marRight w:val="0"/>
                  <w:marTop w:val="0"/>
                  <w:marBottom w:val="0"/>
                  <w:divBdr>
                    <w:top w:val="none" w:sz="0" w:space="0" w:color="auto"/>
                    <w:left w:val="none" w:sz="0" w:space="0" w:color="auto"/>
                    <w:bottom w:val="none" w:sz="0" w:space="0" w:color="auto"/>
                    <w:right w:val="none" w:sz="0" w:space="0" w:color="auto"/>
                  </w:divBdr>
                  <w:divsChild>
                    <w:div w:id="175304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290339">
      <w:bodyDiv w:val="1"/>
      <w:marLeft w:val="0"/>
      <w:marRight w:val="0"/>
      <w:marTop w:val="0"/>
      <w:marBottom w:val="0"/>
      <w:divBdr>
        <w:top w:val="none" w:sz="0" w:space="0" w:color="auto"/>
        <w:left w:val="none" w:sz="0" w:space="0" w:color="auto"/>
        <w:bottom w:val="none" w:sz="0" w:space="0" w:color="auto"/>
        <w:right w:val="none" w:sz="0" w:space="0" w:color="auto"/>
      </w:divBdr>
    </w:div>
    <w:div w:id="1023480578">
      <w:bodyDiv w:val="1"/>
      <w:marLeft w:val="0"/>
      <w:marRight w:val="0"/>
      <w:marTop w:val="0"/>
      <w:marBottom w:val="0"/>
      <w:divBdr>
        <w:top w:val="none" w:sz="0" w:space="0" w:color="auto"/>
        <w:left w:val="none" w:sz="0" w:space="0" w:color="auto"/>
        <w:bottom w:val="none" w:sz="0" w:space="0" w:color="auto"/>
        <w:right w:val="none" w:sz="0" w:space="0" w:color="auto"/>
      </w:divBdr>
      <w:divsChild>
        <w:div w:id="250967343">
          <w:marLeft w:val="1800"/>
          <w:marRight w:val="0"/>
          <w:marTop w:val="96"/>
          <w:marBottom w:val="0"/>
          <w:divBdr>
            <w:top w:val="none" w:sz="0" w:space="0" w:color="auto"/>
            <w:left w:val="none" w:sz="0" w:space="0" w:color="auto"/>
            <w:bottom w:val="none" w:sz="0" w:space="0" w:color="auto"/>
            <w:right w:val="none" w:sz="0" w:space="0" w:color="auto"/>
          </w:divBdr>
        </w:div>
        <w:div w:id="454108190">
          <w:marLeft w:val="1166"/>
          <w:marRight w:val="0"/>
          <w:marTop w:val="115"/>
          <w:marBottom w:val="0"/>
          <w:divBdr>
            <w:top w:val="none" w:sz="0" w:space="0" w:color="auto"/>
            <w:left w:val="none" w:sz="0" w:space="0" w:color="auto"/>
            <w:bottom w:val="none" w:sz="0" w:space="0" w:color="auto"/>
            <w:right w:val="none" w:sz="0" w:space="0" w:color="auto"/>
          </w:divBdr>
        </w:div>
        <w:div w:id="479805445">
          <w:marLeft w:val="1800"/>
          <w:marRight w:val="0"/>
          <w:marTop w:val="96"/>
          <w:marBottom w:val="0"/>
          <w:divBdr>
            <w:top w:val="none" w:sz="0" w:space="0" w:color="auto"/>
            <w:left w:val="none" w:sz="0" w:space="0" w:color="auto"/>
            <w:bottom w:val="none" w:sz="0" w:space="0" w:color="auto"/>
            <w:right w:val="none" w:sz="0" w:space="0" w:color="auto"/>
          </w:divBdr>
        </w:div>
        <w:div w:id="617222854">
          <w:marLeft w:val="1166"/>
          <w:marRight w:val="0"/>
          <w:marTop w:val="115"/>
          <w:marBottom w:val="0"/>
          <w:divBdr>
            <w:top w:val="none" w:sz="0" w:space="0" w:color="auto"/>
            <w:left w:val="none" w:sz="0" w:space="0" w:color="auto"/>
            <w:bottom w:val="none" w:sz="0" w:space="0" w:color="auto"/>
            <w:right w:val="none" w:sz="0" w:space="0" w:color="auto"/>
          </w:divBdr>
        </w:div>
        <w:div w:id="1246724022">
          <w:marLeft w:val="1166"/>
          <w:marRight w:val="0"/>
          <w:marTop w:val="115"/>
          <w:marBottom w:val="0"/>
          <w:divBdr>
            <w:top w:val="none" w:sz="0" w:space="0" w:color="auto"/>
            <w:left w:val="none" w:sz="0" w:space="0" w:color="auto"/>
            <w:bottom w:val="none" w:sz="0" w:space="0" w:color="auto"/>
            <w:right w:val="none" w:sz="0" w:space="0" w:color="auto"/>
          </w:divBdr>
        </w:div>
        <w:div w:id="1310671273">
          <w:marLeft w:val="1800"/>
          <w:marRight w:val="0"/>
          <w:marTop w:val="96"/>
          <w:marBottom w:val="0"/>
          <w:divBdr>
            <w:top w:val="none" w:sz="0" w:space="0" w:color="auto"/>
            <w:left w:val="none" w:sz="0" w:space="0" w:color="auto"/>
            <w:bottom w:val="none" w:sz="0" w:space="0" w:color="auto"/>
            <w:right w:val="none" w:sz="0" w:space="0" w:color="auto"/>
          </w:divBdr>
        </w:div>
      </w:divsChild>
    </w:div>
    <w:div w:id="1141191456">
      <w:bodyDiv w:val="1"/>
      <w:marLeft w:val="0"/>
      <w:marRight w:val="0"/>
      <w:marTop w:val="0"/>
      <w:marBottom w:val="0"/>
      <w:divBdr>
        <w:top w:val="none" w:sz="0" w:space="0" w:color="auto"/>
        <w:left w:val="none" w:sz="0" w:space="0" w:color="auto"/>
        <w:bottom w:val="none" w:sz="0" w:space="0" w:color="auto"/>
        <w:right w:val="none" w:sz="0" w:space="0" w:color="auto"/>
      </w:divBdr>
      <w:divsChild>
        <w:div w:id="980619270">
          <w:marLeft w:val="2189"/>
          <w:marRight w:val="0"/>
          <w:marTop w:val="96"/>
          <w:marBottom w:val="0"/>
          <w:divBdr>
            <w:top w:val="none" w:sz="0" w:space="0" w:color="auto"/>
            <w:left w:val="none" w:sz="0" w:space="0" w:color="auto"/>
            <w:bottom w:val="none" w:sz="0" w:space="0" w:color="auto"/>
            <w:right w:val="none" w:sz="0" w:space="0" w:color="auto"/>
          </w:divBdr>
        </w:div>
        <w:div w:id="2031565814">
          <w:marLeft w:val="2189"/>
          <w:marRight w:val="0"/>
          <w:marTop w:val="96"/>
          <w:marBottom w:val="0"/>
          <w:divBdr>
            <w:top w:val="none" w:sz="0" w:space="0" w:color="auto"/>
            <w:left w:val="none" w:sz="0" w:space="0" w:color="auto"/>
            <w:bottom w:val="none" w:sz="0" w:space="0" w:color="auto"/>
            <w:right w:val="none" w:sz="0" w:space="0" w:color="auto"/>
          </w:divBdr>
        </w:div>
      </w:divsChild>
    </w:div>
    <w:div w:id="1165585880">
      <w:bodyDiv w:val="1"/>
      <w:marLeft w:val="0"/>
      <w:marRight w:val="0"/>
      <w:marTop w:val="0"/>
      <w:marBottom w:val="0"/>
      <w:divBdr>
        <w:top w:val="none" w:sz="0" w:space="0" w:color="auto"/>
        <w:left w:val="none" w:sz="0" w:space="0" w:color="auto"/>
        <w:bottom w:val="none" w:sz="0" w:space="0" w:color="auto"/>
        <w:right w:val="none" w:sz="0" w:space="0" w:color="auto"/>
      </w:divBdr>
      <w:divsChild>
        <w:div w:id="1482960280">
          <w:marLeft w:val="0"/>
          <w:marRight w:val="0"/>
          <w:marTop w:val="0"/>
          <w:marBottom w:val="0"/>
          <w:divBdr>
            <w:top w:val="none" w:sz="0" w:space="0" w:color="auto"/>
            <w:left w:val="none" w:sz="0" w:space="0" w:color="auto"/>
            <w:bottom w:val="none" w:sz="0" w:space="0" w:color="auto"/>
            <w:right w:val="none" w:sz="0" w:space="0" w:color="auto"/>
          </w:divBdr>
          <w:divsChild>
            <w:div w:id="437022453">
              <w:marLeft w:val="0"/>
              <w:marRight w:val="0"/>
              <w:marTop w:val="0"/>
              <w:marBottom w:val="0"/>
              <w:divBdr>
                <w:top w:val="none" w:sz="0" w:space="0" w:color="auto"/>
                <w:left w:val="none" w:sz="0" w:space="0" w:color="auto"/>
                <w:bottom w:val="none" w:sz="0" w:space="0" w:color="auto"/>
                <w:right w:val="none" w:sz="0" w:space="0" w:color="auto"/>
              </w:divBdr>
              <w:divsChild>
                <w:div w:id="1317302731">
                  <w:marLeft w:val="0"/>
                  <w:marRight w:val="0"/>
                  <w:marTop w:val="0"/>
                  <w:marBottom w:val="0"/>
                  <w:divBdr>
                    <w:top w:val="none" w:sz="0" w:space="0" w:color="auto"/>
                    <w:left w:val="none" w:sz="0" w:space="0" w:color="auto"/>
                    <w:bottom w:val="none" w:sz="0" w:space="0" w:color="auto"/>
                    <w:right w:val="none" w:sz="0" w:space="0" w:color="auto"/>
                  </w:divBdr>
                  <w:divsChild>
                    <w:div w:id="207955135">
                      <w:marLeft w:val="0"/>
                      <w:marRight w:val="0"/>
                      <w:marTop w:val="0"/>
                      <w:marBottom w:val="0"/>
                      <w:divBdr>
                        <w:top w:val="none" w:sz="0" w:space="0" w:color="auto"/>
                        <w:left w:val="none" w:sz="0" w:space="0" w:color="auto"/>
                        <w:bottom w:val="none" w:sz="0" w:space="0" w:color="auto"/>
                        <w:right w:val="none" w:sz="0" w:space="0" w:color="auto"/>
                      </w:divBdr>
                      <w:divsChild>
                        <w:div w:id="149753373">
                          <w:marLeft w:val="0"/>
                          <w:marRight w:val="0"/>
                          <w:marTop w:val="0"/>
                          <w:marBottom w:val="0"/>
                          <w:divBdr>
                            <w:top w:val="none" w:sz="0" w:space="0" w:color="auto"/>
                            <w:left w:val="none" w:sz="0" w:space="0" w:color="auto"/>
                            <w:bottom w:val="none" w:sz="0" w:space="0" w:color="auto"/>
                            <w:right w:val="none" w:sz="0" w:space="0" w:color="auto"/>
                          </w:divBdr>
                          <w:divsChild>
                            <w:div w:id="1067610110">
                              <w:marLeft w:val="240"/>
                              <w:marRight w:val="240"/>
                              <w:marTop w:val="312"/>
                              <w:marBottom w:val="312"/>
                              <w:divBdr>
                                <w:top w:val="none" w:sz="0" w:space="0" w:color="auto"/>
                                <w:left w:val="none" w:sz="0" w:space="0" w:color="auto"/>
                                <w:bottom w:val="none" w:sz="0" w:space="0" w:color="auto"/>
                                <w:right w:val="none" w:sz="0" w:space="0" w:color="auto"/>
                              </w:divBdr>
                              <w:divsChild>
                                <w:div w:id="600796369">
                                  <w:marLeft w:val="0"/>
                                  <w:marRight w:val="0"/>
                                  <w:marTop w:val="0"/>
                                  <w:marBottom w:val="0"/>
                                  <w:divBdr>
                                    <w:top w:val="single" w:sz="6" w:space="0" w:color="7D98CB"/>
                                    <w:left w:val="single" w:sz="6" w:space="0" w:color="7D98CB"/>
                                    <w:bottom w:val="single" w:sz="6" w:space="0" w:color="7D98CB"/>
                                    <w:right w:val="single" w:sz="6" w:space="0" w:color="7D98CB"/>
                                  </w:divBdr>
                                </w:div>
                              </w:divsChild>
                            </w:div>
                          </w:divsChild>
                        </w:div>
                      </w:divsChild>
                    </w:div>
                  </w:divsChild>
                </w:div>
              </w:divsChild>
            </w:div>
          </w:divsChild>
        </w:div>
      </w:divsChild>
    </w:div>
    <w:div w:id="1179194471">
      <w:bodyDiv w:val="1"/>
      <w:marLeft w:val="0"/>
      <w:marRight w:val="0"/>
      <w:marTop w:val="0"/>
      <w:marBottom w:val="0"/>
      <w:divBdr>
        <w:top w:val="none" w:sz="0" w:space="0" w:color="auto"/>
        <w:left w:val="none" w:sz="0" w:space="0" w:color="auto"/>
        <w:bottom w:val="none" w:sz="0" w:space="0" w:color="auto"/>
        <w:right w:val="none" w:sz="0" w:space="0" w:color="auto"/>
      </w:divBdr>
      <w:divsChild>
        <w:div w:id="894313086">
          <w:marLeft w:val="0"/>
          <w:marRight w:val="0"/>
          <w:marTop w:val="0"/>
          <w:marBottom w:val="0"/>
          <w:divBdr>
            <w:top w:val="none" w:sz="0" w:space="0" w:color="EBEBEB"/>
            <w:left w:val="none" w:sz="0" w:space="0" w:color="EBEBEB"/>
            <w:bottom w:val="none" w:sz="0" w:space="0" w:color="EBEBEB"/>
            <w:right w:val="none" w:sz="0" w:space="0" w:color="EBEBEB"/>
          </w:divBdr>
          <w:divsChild>
            <w:div w:id="292173979">
              <w:marLeft w:val="-225"/>
              <w:marRight w:val="-225"/>
              <w:marTop w:val="0"/>
              <w:marBottom w:val="0"/>
              <w:divBdr>
                <w:top w:val="none" w:sz="0" w:space="0" w:color="auto"/>
                <w:left w:val="none" w:sz="0" w:space="0" w:color="auto"/>
                <w:bottom w:val="none" w:sz="0" w:space="0" w:color="auto"/>
                <w:right w:val="none" w:sz="0" w:space="0" w:color="auto"/>
              </w:divBdr>
              <w:divsChild>
                <w:div w:id="1440249164">
                  <w:marLeft w:val="0"/>
                  <w:marRight w:val="0"/>
                  <w:marTop w:val="0"/>
                  <w:marBottom w:val="0"/>
                  <w:divBdr>
                    <w:top w:val="none" w:sz="0" w:space="0" w:color="auto"/>
                    <w:left w:val="none" w:sz="0" w:space="0" w:color="auto"/>
                    <w:bottom w:val="none" w:sz="0" w:space="0" w:color="auto"/>
                    <w:right w:val="none" w:sz="0" w:space="0" w:color="auto"/>
                  </w:divBdr>
                  <w:divsChild>
                    <w:div w:id="1846901117">
                      <w:marLeft w:val="0"/>
                      <w:marRight w:val="0"/>
                      <w:marTop w:val="0"/>
                      <w:marBottom w:val="0"/>
                      <w:divBdr>
                        <w:top w:val="none" w:sz="0" w:space="0" w:color="auto"/>
                        <w:left w:val="none" w:sz="0" w:space="0" w:color="auto"/>
                        <w:bottom w:val="none" w:sz="0" w:space="0" w:color="auto"/>
                        <w:right w:val="none" w:sz="0" w:space="0" w:color="auto"/>
                      </w:divBdr>
                      <w:divsChild>
                        <w:div w:id="675231727">
                          <w:marLeft w:val="0"/>
                          <w:marRight w:val="0"/>
                          <w:marTop w:val="0"/>
                          <w:marBottom w:val="0"/>
                          <w:divBdr>
                            <w:top w:val="none" w:sz="0" w:space="0" w:color="auto"/>
                            <w:left w:val="none" w:sz="0" w:space="0" w:color="auto"/>
                            <w:bottom w:val="none" w:sz="0" w:space="0" w:color="auto"/>
                            <w:right w:val="none" w:sz="0" w:space="0" w:color="auto"/>
                          </w:divBdr>
                          <w:divsChild>
                            <w:div w:id="1026323585">
                              <w:marLeft w:val="-225"/>
                              <w:marRight w:val="-225"/>
                              <w:marTop w:val="0"/>
                              <w:marBottom w:val="0"/>
                              <w:divBdr>
                                <w:top w:val="none" w:sz="0" w:space="0" w:color="auto"/>
                                <w:left w:val="none" w:sz="0" w:space="0" w:color="auto"/>
                                <w:bottom w:val="none" w:sz="0" w:space="0" w:color="auto"/>
                                <w:right w:val="none" w:sz="0" w:space="0" w:color="auto"/>
                              </w:divBdr>
                              <w:divsChild>
                                <w:div w:id="142433825">
                                  <w:marLeft w:val="0"/>
                                  <w:marRight w:val="0"/>
                                  <w:marTop w:val="0"/>
                                  <w:marBottom w:val="0"/>
                                  <w:divBdr>
                                    <w:top w:val="none" w:sz="0" w:space="0" w:color="auto"/>
                                    <w:left w:val="none" w:sz="0" w:space="0" w:color="auto"/>
                                    <w:bottom w:val="none" w:sz="0" w:space="0" w:color="auto"/>
                                    <w:right w:val="none" w:sz="0" w:space="0" w:color="auto"/>
                                  </w:divBdr>
                                  <w:divsChild>
                                    <w:div w:id="1691760908">
                                      <w:marLeft w:val="0"/>
                                      <w:marRight w:val="0"/>
                                      <w:marTop w:val="0"/>
                                      <w:marBottom w:val="0"/>
                                      <w:divBdr>
                                        <w:top w:val="none" w:sz="0" w:space="0" w:color="auto"/>
                                        <w:left w:val="none" w:sz="0" w:space="0" w:color="auto"/>
                                        <w:bottom w:val="none" w:sz="0" w:space="0" w:color="auto"/>
                                        <w:right w:val="none" w:sz="0" w:space="0" w:color="auto"/>
                                      </w:divBdr>
                                      <w:divsChild>
                                        <w:div w:id="659886220">
                                          <w:marLeft w:val="0"/>
                                          <w:marRight w:val="0"/>
                                          <w:marTop w:val="75"/>
                                          <w:marBottom w:val="0"/>
                                          <w:divBdr>
                                            <w:top w:val="single" w:sz="6" w:space="8" w:color="DDDDDD"/>
                                            <w:left w:val="none" w:sz="0" w:space="0" w:color="auto"/>
                                            <w:bottom w:val="none" w:sz="0" w:space="0" w:color="auto"/>
                                            <w:right w:val="none" w:sz="0" w:space="0" w:color="auto"/>
                                          </w:divBdr>
                                          <w:divsChild>
                                            <w:div w:id="1064568600">
                                              <w:marLeft w:val="0"/>
                                              <w:marRight w:val="0"/>
                                              <w:marTop w:val="0"/>
                                              <w:marBottom w:val="0"/>
                                              <w:divBdr>
                                                <w:top w:val="none" w:sz="0" w:space="0" w:color="auto"/>
                                                <w:left w:val="none" w:sz="0" w:space="0" w:color="auto"/>
                                                <w:bottom w:val="none" w:sz="0" w:space="0" w:color="auto"/>
                                                <w:right w:val="none" w:sz="0" w:space="0" w:color="auto"/>
                                              </w:divBdr>
                                              <w:divsChild>
                                                <w:div w:id="1459303573">
                                                  <w:marLeft w:val="-225"/>
                                                  <w:marRight w:val="-225"/>
                                                  <w:marTop w:val="0"/>
                                                  <w:marBottom w:val="0"/>
                                                  <w:divBdr>
                                                    <w:top w:val="none" w:sz="0" w:space="0" w:color="auto"/>
                                                    <w:left w:val="none" w:sz="0" w:space="0" w:color="auto"/>
                                                    <w:bottom w:val="none" w:sz="0" w:space="0" w:color="auto"/>
                                                    <w:right w:val="none" w:sz="0" w:space="0" w:color="auto"/>
                                                  </w:divBdr>
                                                  <w:divsChild>
                                                    <w:div w:id="184801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5178974">
      <w:bodyDiv w:val="1"/>
      <w:marLeft w:val="0"/>
      <w:marRight w:val="0"/>
      <w:marTop w:val="0"/>
      <w:marBottom w:val="0"/>
      <w:divBdr>
        <w:top w:val="none" w:sz="0" w:space="0" w:color="auto"/>
        <w:left w:val="none" w:sz="0" w:space="0" w:color="auto"/>
        <w:bottom w:val="none" w:sz="0" w:space="0" w:color="auto"/>
        <w:right w:val="none" w:sz="0" w:space="0" w:color="auto"/>
      </w:divBdr>
      <w:divsChild>
        <w:div w:id="1173179383">
          <w:marLeft w:val="0"/>
          <w:marRight w:val="0"/>
          <w:marTop w:val="0"/>
          <w:marBottom w:val="0"/>
          <w:divBdr>
            <w:top w:val="none" w:sz="0" w:space="0" w:color="auto"/>
            <w:left w:val="none" w:sz="0" w:space="0" w:color="auto"/>
            <w:bottom w:val="none" w:sz="0" w:space="0" w:color="auto"/>
            <w:right w:val="none" w:sz="0" w:space="0" w:color="auto"/>
          </w:divBdr>
          <w:divsChild>
            <w:div w:id="1300190159">
              <w:marLeft w:val="0"/>
              <w:marRight w:val="0"/>
              <w:marTop w:val="0"/>
              <w:marBottom w:val="0"/>
              <w:divBdr>
                <w:top w:val="none" w:sz="0" w:space="0" w:color="auto"/>
                <w:left w:val="none" w:sz="0" w:space="0" w:color="auto"/>
                <w:bottom w:val="none" w:sz="0" w:space="0" w:color="auto"/>
                <w:right w:val="none" w:sz="0" w:space="0" w:color="auto"/>
              </w:divBdr>
              <w:divsChild>
                <w:div w:id="1340279821">
                  <w:marLeft w:val="0"/>
                  <w:marRight w:val="0"/>
                  <w:marTop w:val="0"/>
                  <w:marBottom w:val="0"/>
                  <w:divBdr>
                    <w:top w:val="none" w:sz="0" w:space="0" w:color="auto"/>
                    <w:left w:val="none" w:sz="0" w:space="0" w:color="auto"/>
                    <w:bottom w:val="none" w:sz="0" w:space="0" w:color="auto"/>
                    <w:right w:val="none" w:sz="0" w:space="0" w:color="auto"/>
                  </w:divBdr>
                  <w:divsChild>
                    <w:div w:id="613050441">
                      <w:marLeft w:val="0"/>
                      <w:marRight w:val="0"/>
                      <w:marTop w:val="0"/>
                      <w:marBottom w:val="0"/>
                      <w:divBdr>
                        <w:top w:val="none" w:sz="0" w:space="0" w:color="auto"/>
                        <w:left w:val="none" w:sz="0" w:space="0" w:color="auto"/>
                        <w:bottom w:val="none" w:sz="0" w:space="0" w:color="auto"/>
                        <w:right w:val="none" w:sz="0" w:space="0" w:color="auto"/>
                      </w:divBdr>
                      <w:divsChild>
                        <w:div w:id="1941140028">
                          <w:marLeft w:val="0"/>
                          <w:marRight w:val="0"/>
                          <w:marTop w:val="0"/>
                          <w:marBottom w:val="0"/>
                          <w:divBdr>
                            <w:top w:val="none" w:sz="0" w:space="0" w:color="auto"/>
                            <w:left w:val="none" w:sz="0" w:space="0" w:color="auto"/>
                            <w:bottom w:val="none" w:sz="0" w:space="0" w:color="auto"/>
                            <w:right w:val="none" w:sz="0" w:space="0" w:color="auto"/>
                          </w:divBdr>
                          <w:divsChild>
                            <w:div w:id="462043186">
                              <w:marLeft w:val="240"/>
                              <w:marRight w:val="240"/>
                              <w:marTop w:val="312"/>
                              <w:marBottom w:val="312"/>
                              <w:divBdr>
                                <w:top w:val="none" w:sz="0" w:space="0" w:color="auto"/>
                                <w:left w:val="none" w:sz="0" w:space="0" w:color="auto"/>
                                <w:bottom w:val="none" w:sz="0" w:space="0" w:color="auto"/>
                                <w:right w:val="none" w:sz="0" w:space="0" w:color="auto"/>
                              </w:divBdr>
                              <w:divsChild>
                                <w:div w:id="310788257">
                                  <w:marLeft w:val="0"/>
                                  <w:marRight w:val="0"/>
                                  <w:marTop w:val="0"/>
                                  <w:marBottom w:val="0"/>
                                  <w:divBdr>
                                    <w:top w:val="none" w:sz="0" w:space="0" w:color="auto"/>
                                    <w:left w:val="none" w:sz="0" w:space="0" w:color="auto"/>
                                    <w:bottom w:val="none" w:sz="0" w:space="0" w:color="auto"/>
                                    <w:right w:val="none" w:sz="0" w:space="0" w:color="auto"/>
                                  </w:divBdr>
                                </w:div>
                                <w:div w:id="828640254">
                                  <w:marLeft w:val="0"/>
                                  <w:marRight w:val="0"/>
                                  <w:marTop w:val="0"/>
                                  <w:marBottom w:val="0"/>
                                  <w:divBdr>
                                    <w:top w:val="single" w:sz="6" w:space="0" w:color="7D98CB"/>
                                    <w:left w:val="single" w:sz="6" w:space="0" w:color="7D98CB"/>
                                    <w:bottom w:val="single" w:sz="6" w:space="0" w:color="7D98CB"/>
                                    <w:right w:val="single" w:sz="6" w:space="0" w:color="7D98CB"/>
                                  </w:divBdr>
                                </w:div>
                              </w:divsChild>
                            </w:div>
                            <w:div w:id="638728894">
                              <w:marLeft w:val="0"/>
                              <w:marRight w:val="0"/>
                              <w:marTop w:val="0"/>
                              <w:marBottom w:val="0"/>
                              <w:divBdr>
                                <w:top w:val="none" w:sz="0" w:space="0" w:color="auto"/>
                                <w:left w:val="none" w:sz="0" w:space="0" w:color="auto"/>
                                <w:bottom w:val="none" w:sz="0" w:space="0" w:color="auto"/>
                                <w:right w:val="none" w:sz="0" w:space="0" w:color="auto"/>
                              </w:divBdr>
                              <w:divsChild>
                                <w:div w:id="2592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101498">
      <w:bodyDiv w:val="1"/>
      <w:marLeft w:val="0"/>
      <w:marRight w:val="0"/>
      <w:marTop w:val="0"/>
      <w:marBottom w:val="0"/>
      <w:divBdr>
        <w:top w:val="none" w:sz="0" w:space="0" w:color="auto"/>
        <w:left w:val="none" w:sz="0" w:space="0" w:color="auto"/>
        <w:bottom w:val="none" w:sz="0" w:space="0" w:color="auto"/>
        <w:right w:val="none" w:sz="0" w:space="0" w:color="auto"/>
      </w:divBdr>
      <w:divsChild>
        <w:div w:id="1294942134">
          <w:marLeft w:val="0"/>
          <w:marRight w:val="0"/>
          <w:marTop w:val="0"/>
          <w:marBottom w:val="0"/>
          <w:divBdr>
            <w:top w:val="none" w:sz="0" w:space="0" w:color="auto"/>
            <w:left w:val="none" w:sz="0" w:space="0" w:color="auto"/>
            <w:bottom w:val="none" w:sz="0" w:space="0" w:color="auto"/>
            <w:right w:val="none" w:sz="0" w:space="0" w:color="auto"/>
          </w:divBdr>
          <w:divsChild>
            <w:div w:id="1762331601">
              <w:marLeft w:val="0"/>
              <w:marRight w:val="0"/>
              <w:marTop w:val="0"/>
              <w:marBottom w:val="0"/>
              <w:divBdr>
                <w:top w:val="none" w:sz="0" w:space="0" w:color="auto"/>
                <w:left w:val="none" w:sz="0" w:space="0" w:color="auto"/>
                <w:bottom w:val="none" w:sz="0" w:space="0" w:color="auto"/>
                <w:right w:val="none" w:sz="0" w:space="0" w:color="auto"/>
              </w:divBdr>
              <w:divsChild>
                <w:div w:id="1670673188">
                  <w:marLeft w:val="0"/>
                  <w:marRight w:val="0"/>
                  <w:marTop w:val="0"/>
                  <w:marBottom w:val="0"/>
                  <w:divBdr>
                    <w:top w:val="none" w:sz="0" w:space="0" w:color="auto"/>
                    <w:left w:val="none" w:sz="0" w:space="0" w:color="auto"/>
                    <w:bottom w:val="none" w:sz="0" w:space="0" w:color="auto"/>
                    <w:right w:val="none" w:sz="0" w:space="0" w:color="auto"/>
                  </w:divBdr>
                  <w:divsChild>
                    <w:div w:id="841551292">
                      <w:marLeft w:val="0"/>
                      <w:marRight w:val="0"/>
                      <w:marTop w:val="0"/>
                      <w:marBottom w:val="0"/>
                      <w:divBdr>
                        <w:top w:val="none" w:sz="0" w:space="0" w:color="auto"/>
                        <w:left w:val="none" w:sz="0" w:space="0" w:color="auto"/>
                        <w:bottom w:val="none" w:sz="0" w:space="0" w:color="auto"/>
                        <w:right w:val="none" w:sz="0" w:space="0" w:color="auto"/>
                      </w:divBdr>
                      <w:divsChild>
                        <w:div w:id="760025828">
                          <w:marLeft w:val="0"/>
                          <w:marRight w:val="0"/>
                          <w:marTop w:val="0"/>
                          <w:marBottom w:val="0"/>
                          <w:divBdr>
                            <w:top w:val="none" w:sz="0" w:space="0" w:color="auto"/>
                            <w:left w:val="none" w:sz="0" w:space="0" w:color="auto"/>
                            <w:bottom w:val="none" w:sz="0" w:space="0" w:color="auto"/>
                            <w:right w:val="none" w:sz="0" w:space="0" w:color="auto"/>
                          </w:divBdr>
                          <w:divsChild>
                            <w:div w:id="976186737">
                              <w:marLeft w:val="0"/>
                              <w:marRight w:val="0"/>
                              <w:marTop w:val="0"/>
                              <w:marBottom w:val="0"/>
                              <w:divBdr>
                                <w:top w:val="none" w:sz="0" w:space="0" w:color="auto"/>
                                <w:left w:val="none" w:sz="0" w:space="0" w:color="auto"/>
                                <w:bottom w:val="none" w:sz="0" w:space="0" w:color="auto"/>
                                <w:right w:val="none" w:sz="0" w:space="0" w:color="auto"/>
                              </w:divBdr>
                              <w:divsChild>
                                <w:div w:id="210772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635408">
      <w:bodyDiv w:val="1"/>
      <w:marLeft w:val="0"/>
      <w:marRight w:val="0"/>
      <w:marTop w:val="0"/>
      <w:marBottom w:val="0"/>
      <w:divBdr>
        <w:top w:val="none" w:sz="0" w:space="0" w:color="auto"/>
        <w:left w:val="none" w:sz="0" w:space="0" w:color="auto"/>
        <w:bottom w:val="none" w:sz="0" w:space="0" w:color="auto"/>
        <w:right w:val="none" w:sz="0" w:space="0" w:color="auto"/>
      </w:divBdr>
      <w:divsChild>
        <w:div w:id="1591813668">
          <w:marLeft w:val="0"/>
          <w:marRight w:val="0"/>
          <w:marTop w:val="0"/>
          <w:marBottom w:val="0"/>
          <w:divBdr>
            <w:top w:val="none" w:sz="0" w:space="0" w:color="auto"/>
            <w:left w:val="none" w:sz="0" w:space="0" w:color="auto"/>
            <w:bottom w:val="none" w:sz="0" w:space="0" w:color="auto"/>
            <w:right w:val="none" w:sz="0" w:space="0" w:color="auto"/>
          </w:divBdr>
          <w:divsChild>
            <w:div w:id="1940986360">
              <w:marLeft w:val="0"/>
              <w:marRight w:val="0"/>
              <w:marTop w:val="0"/>
              <w:marBottom w:val="0"/>
              <w:divBdr>
                <w:top w:val="none" w:sz="0" w:space="0" w:color="auto"/>
                <w:left w:val="none" w:sz="0" w:space="0" w:color="auto"/>
                <w:bottom w:val="none" w:sz="0" w:space="0" w:color="auto"/>
                <w:right w:val="none" w:sz="0" w:space="0" w:color="auto"/>
              </w:divBdr>
              <w:divsChild>
                <w:div w:id="442697411">
                  <w:marLeft w:val="67"/>
                  <w:marRight w:val="67"/>
                  <w:marTop w:val="0"/>
                  <w:marBottom w:val="0"/>
                  <w:divBdr>
                    <w:top w:val="none" w:sz="0" w:space="0" w:color="auto"/>
                    <w:left w:val="none" w:sz="0" w:space="0" w:color="auto"/>
                    <w:bottom w:val="none" w:sz="0" w:space="0" w:color="auto"/>
                    <w:right w:val="none" w:sz="0" w:space="0" w:color="auto"/>
                  </w:divBdr>
                  <w:divsChild>
                    <w:div w:id="1864586427">
                      <w:marLeft w:val="0"/>
                      <w:marRight w:val="0"/>
                      <w:marTop w:val="0"/>
                      <w:marBottom w:val="0"/>
                      <w:divBdr>
                        <w:top w:val="none" w:sz="0" w:space="0" w:color="auto"/>
                        <w:left w:val="none" w:sz="0" w:space="0" w:color="auto"/>
                        <w:bottom w:val="none" w:sz="0" w:space="0" w:color="auto"/>
                        <w:right w:val="none" w:sz="0" w:space="0" w:color="auto"/>
                      </w:divBdr>
                      <w:divsChild>
                        <w:div w:id="246378346">
                          <w:marLeft w:val="0"/>
                          <w:marRight w:val="0"/>
                          <w:marTop w:val="0"/>
                          <w:marBottom w:val="0"/>
                          <w:divBdr>
                            <w:top w:val="none" w:sz="0" w:space="0" w:color="auto"/>
                            <w:left w:val="none" w:sz="0" w:space="0" w:color="auto"/>
                            <w:bottom w:val="none" w:sz="0" w:space="0" w:color="auto"/>
                            <w:right w:val="none" w:sz="0" w:space="0" w:color="auto"/>
                          </w:divBdr>
                          <w:divsChild>
                            <w:div w:id="111748566">
                              <w:marLeft w:val="0"/>
                              <w:marRight w:val="0"/>
                              <w:marTop w:val="0"/>
                              <w:marBottom w:val="0"/>
                              <w:divBdr>
                                <w:top w:val="none" w:sz="0" w:space="0" w:color="auto"/>
                                <w:left w:val="none" w:sz="0" w:space="0" w:color="auto"/>
                                <w:bottom w:val="none" w:sz="0" w:space="0" w:color="auto"/>
                                <w:right w:val="none" w:sz="0" w:space="0" w:color="auto"/>
                              </w:divBdr>
                              <w:divsChild>
                                <w:div w:id="625546125">
                                  <w:marLeft w:val="0"/>
                                  <w:marRight w:val="0"/>
                                  <w:marTop w:val="0"/>
                                  <w:marBottom w:val="0"/>
                                  <w:divBdr>
                                    <w:top w:val="none" w:sz="0" w:space="0" w:color="auto"/>
                                    <w:left w:val="none" w:sz="0" w:space="0" w:color="auto"/>
                                    <w:bottom w:val="none" w:sz="0" w:space="0" w:color="auto"/>
                                    <w:right w:val="none" w:sz="0" w:space="0" w:color="auto"/>
                                  </w:divBdr>
                                  <w:divsChild>
                                    <w:div w:id="548302871">
                                      <w:marLeft w:val="0"/>
                                      <w:marRight w:val="0"/>
                                      <w:marTop w:val="0"/>
                                      <w:marBottom w:val="0"/>
                                      <w:divBdr>
                                        <w:top w:val="none" w:sz="0" w:space="0" w:color="auto"/>
                                        <w:left w:val="none" w:sz="0" w:space="0" w:color="auto"/>
                                        <w:bottom w:val="none" w:sz="0" w:space="0" w:color="auto"/>
                                        <w:right w:val="none" w:sz="0" w:space="0" w:color="auto"/>
                                      </w:divBdr>
                                    </w:div>
                                    <w:div w:id="653266624">
                                      <w:marLeft w:val="0"/>
                                      <w:marRight w:val="0"/>
                                      <w:marTop w:val="0"/>
                                      <w:marBottom w:val="0"/>
                                      <w:divBdr>
                                        <w:top w:val="none" w:sz="0" w:space="0" w:color="auto"/>
                                        <w:left w:val="none" w:sz="0" w:space="0" w:color="auto"/>
                                        <w:bottom w:val="none" w:sz="0" w:space="0" w:color="auto"/>
                                        <w:right w:val="none" w:sz="0" w:space="0" w:color="auto"/>
                                      </w:divBdr>
                                    </w:div>
                                    <w:div w:id="1055856588">
                                      <w:marLeft w:val="0"/>
                                      <w:marRight w:val="0"/>
                                      <w:marTop w:val="0"/>
                                      <w:marBottom w:val="0"/>
                                      <w:divBdr>
                                        <w:top w:val="none" w:sz="0" w:space="0" w:color="auto"/>
                                        <w:left w:val="none" w:sz="0" w:space="0" w:color="auto"/>
                                        <w:bottom w:val="none" w:sz="0" w:space="0" w:color="auto"/>
                                        <w:right w:val="none" w:sz="0" w:space="0" w:color="auto"/>
                                      </w:divBdr>
                                    </w:div>
                                    <w:div w:id="1183663461">
                                      <w:marLeft w:val="0"/>
                                      <w:marRight w:val="0"/>
                                      <w:marTop w:val="0"/>
                                      <w:marBottom w:val="0"/>
                                      <w:divBdr>
                                        <w:top w:val="none" w:sz="0" w:space="0" w:color="auto"/>
                                        <w:left w:val="none" w:sz="0" w:space="0" w:color="auto"/>
                                        <w:bottom w:val="none" w:sz="0" w:space="0" w:color="auto"/>
                                        <w:right w:val="none" w:sz="0" w:space="0" w:color="auto"/>
                                      </w:divBdr>
                                    </w:div>
                                    <w:div w:id="1538539991">
                                      <w:marLeft w:val="0"/>
                                      <w:marRight w:val="0"/>
                                      <w:marTop w:val="0"/>
                                      <w:marBottom w:val="0"/>
                                      <w:divBdr>
                                        <w:top w:val="none" w:sz="0" w:space="0" w:color="auto"/>
                                        <w:left w:val="none" w:sz="0" w:space="0" w:color="auto"/>
                                        <w:bottom w:val="none" w:sz="0" w:space="0" w:color="auto"/>
                                        <w:right w:val="none" w:sz="0" w:space="0" w:color="auto"/>
                                      </w:divBdr>
                                    </w:div>
                                    <w:div w:id="1654946188">
                                      <w:marLeft w:val="0"/>
                                      <w:marRight w:val="0"/>
                                      <w:marTop w:val="0"/>
                                      <w:marBottom w:val="0"/>
                                      <w:divBdr>
                                        <w:top w:val="none" w:sz="0" w:space="0" w:color="auto"/>
                                        <w:left w:val="none" w:sz="0" w:space="0" w:color="auto"/>
                                        <w:bottom w:val="none" w:sz="0" w:space="0" w:color="auto"/>
                                        <w:right w:val="none" w:sz="0" w:space="0" w:color="auto"/>
                                      </w:divBdr>
                                    </w:div>
                                    <w:div w:id="199517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4516776">
      <w:bodyDiv w:val="1"/>
      <w:marLeft w:val="0"/>
      <w:marRight w:val="0"/>
      <w:marTop w:val="0"/>
      <w:marBottom w:val="0"/>
      <w:divBdr>
        <w:top w:val="none" w:sz="0" w:space="0" w:color="auto"/>
        <w:left w:val="none" w:sz="0" w:space="0" w:color="auto"/>
        <w:bottom w:val="none" w:sz="0" w:space="0" w:color="auto"/>
        <w:right w:val="none" w:sz="0" w:space="0" w:color="auto"/>
      </w:divBdr>
    </w:div>
    <w:div w:id="1498762582">
      <w:bodyDiv w:val="1"/>
      <w:marLeft w:val="0"/>
      <w:marRight w:val="0"/>
      <w:marTop w:val="0"/>
      <w:marBottom w:val="0"/>
      <w:divBdr>
        <w:top w:val="none" w:sz="0" w:space="0" w:color="auto"/>
        <w:left w:val="none" w:sz="0" w:space="0" w:color="auto"/>
        <w:bottom w:val="none" w:sz="0" w:space="0" w:color="auto"/>
        <w:right w:val="none" w:sz="0" w:space="0" w:color="auto"/>
      </w:divBdr>
      <w:divsChild>
        <w:div w:id="556206660">
          <w:marLeft w:val="0"/>
          <w:marRight w:val="0"/>
          <w:marTop w:val="0"/>
          <w:marBottom w:val="0"/>
          <w:divBdr>
            <w:top w:val="none" w:sz="0" w:space="0" w:color="auto"/>
            <w:left w:val="none" w:sz="0" w:space="0" w:color="auto"/>
            <w:bottom w:val="none" w:sz="0" w:space="0" w:color="auto"/>
            <w:right w:val="none" w:sz="0" w:space="0" w:color="auto"/>
          </w:divBdr>
          <w:divsChild>
            <w:div w:id="84688953">
              <w:marLeft w:val="0"/>
              <w:marRight w:val="0"/>
              <w:marTop w:val="0"/>
              <w:marBottom w:val="0"/>
              <w:divBdr>
                <w:top w:val="none" w:sz="0" w:space="0" w:color="auto"/>
                <w:left w:val="none" w:sz="0" w:space="0" w:color="auto"/>
                <w:bottom w:val="none" w:sz="0" w:space="0" w:color="auto"/>
                <w:right w:val="none" w:sz="0" w:space="0" w:color="auto"/>
              </w:divBdr>
            </w:div>
            <w:div w:id="225990612">
              <w:marLeft w:val="0"/>
              <w:marRight w:val="0"/>
              <w:marTop w:val="0"/>
              <w:marBottom w:val="0"/>
              <w:divBdr>
                <w:top w:val="none" w:sz="0" w:space="0" w:color="auto"/>
                <w:left w:val="none" w:sz="0" w:space="0" w:color="auto"/>
                <w:bottom w:val="none" w:sz="0" w:space="0" w:color="auto"/>
                <w:right w:val="none" w:sz="0" w:space="0" w:color="auto"/>
              </w:divBdr>
              <w:divsChild>
                <w:div w:id="2102095273">
                  <w:marLeft w:val="0"/>
                  <w:marRight w:val="0"/>
                  <w:marTop w:val="0"/>
                  <w:marBottom w:val="0"/>
                  <w:divBdr>
                    <w:top w:val="none" w:sz="0" w:space="0" w:color="auto"/>
                    <w:left w:val="none" w:sz="0" w:space="0" w:color="auto"/>
                    <w:bottom w:val="none" w:sz="0" w:space="0" w:color="auto"/>
                    <w:right w:val="none" w:sz="0" w:space="0" w:color="auto"/>
                  </w:divBdr>
                  <w:divsChild>
                    <w:div w:id="1842508101">
                      <w:marLeft w:val="0"/>
                      <w:marRight w:val="0"/>
                      <w:marTop w:val="0"/>
                      <w:marBottom w:val="0"/>
                      <w:divBdr>
                        <w:top w:val="none" w:sz="0" w:space="0" w:color="auto"/>
                        <w:left w:val="none" w:sz="0" w:space="0" w:color="auto"/>
                        <w:bottom w:val="none" w:sz="0" w:space="0" w:color="auto"/>
                        <w:right w:val="none" w:sz="0" w:space="0" w:color="auto"/>
                      </w:divBdr>
                      <w:divsChild>
                        <w:div w:id="812983365">
                          <w:marLeft w:val="0"/>
                          <w:marRight w:val="0"/>
                          <w:marTop w:val="0"/>
                          <w:marBottom w:val="0"/>
                          <w:divBdr>
                            <w:top w:val="none" w:sz="0" w:space="0" w:color="auto"/>
                            <w:left w:val="none" w:sz="0" w:space="0" w:color="auto"/>
                            <w:bottom w:val="none" w:sz="0" w:space="0" w:color="auto"/>
                            <w:right w:val="none" w:sz="0" w:space="0" w:color="auto"/>
                          </w:divBdr>
                          <w:divsChild>
                            <w:div w:id="134490638">
                              <w:marLeft w:val="0"/>
                              <w:marRight w:val="0"/>
                              <w:marTop w:val="0"/>
                              <w:marBottom w:val="0"/>
                              <w:divBdr>
                                <w:top w:val="none" w:sz="0" w:space="0" w:color="auto"/>
                                <w:left w:val="none" w:sz="0" w:space="0" w:color="auto"/>
                                <w:bottom w:val="none" w:sz="0" w:space="0" w:color="auto"/>
                                <w:right w:val="none" w:sz="0" w:space="0" w:color="auto"/>
                              </w:divBdr>
                            </w:div>
                            <w:div w:id="881405447">
                              <w:marLeft w:val="0"/>
                              <w:marRight w:val="0"/>
                              <w:marTop w:val="0"/>
                              <w:marBottom w:val="0"/>
                              <w:divBdr>
                                <w:top w:val="none" w:sz="0" w:space="0" w:color="auto"/>
                                <w:left w:val="none" w:sz="0" w:space="0" w:color="auto"/>
                                <w:bottom w:val="none" w:sz="0" w:space="0" w:color="auto"/>
                                <w:right w:val="none" w:sz="0" w:space="0" w:color="auto"/>
                              </w:divBdr>
                            </w:div>
                            <w:div w:id="1296258146">
                              <w:marLeft w:val="0"/>
                              <w:marRight w:val="0"/>
                              <w:marTop w:val="0"/>
                              <w:marBottom w:val="0"/>
                              <w:divBdr>
                                <w:top w:val="none" w:sz="0" w:space="0" w:color="auto"/>
                                <w:left w:val="none" w:sz="0" w:space="0" w:color="auto"/>
                                <w:bottom w:val="none" w:sz="0" w:space="0" w:color="auto"/>
                                <w:right w:val="none" w:sz="0" w:space="0" w:color="auto"/>
                              </w:divBdr>
                            </w:div>
                            <w:div w:id="1585188272">
                              <w:marLeft w:val="0"/>
                              <w:marRight w:val="0"/>
                              <w:marTop w:val="0"/>
                              <w:marBottom w:val="0"/>
                              <w:divBdr>
                                <w:top w:val="none" w:sz="0" w:space="0" w:color="auto"/>
                                <w:left w:val="none" w:sz="0" w:space="0" w:color="auto"/>
                                <w:bottom w:val="none" w:sz="0" w:space="0" w:color="auto"/>
                                <w:right w:val="none" w:sz="0" w:space="0" w:color="auto"/>
                              </w:divBdr>
                            </w:div>
                            <w:div w:id="1605070530">
                              <w:marLeft w:val="0"/>
                              <w:marRight w:val="0"/>
                              <w:marTop w:val="0"/>
                              <w:marBottom w:val="0"/>
                              <w:divBdr>
                                <w:top w:val="none" w:sz="0" w:space="0" w:color="auto"/>
                                <w:left w:val="none" w:sz="0" w:space="0" w:color="auto"/>
                                <w:bottom w:val="none" w:sz="0" w:space="0" w:color="auto"/>
                                <w:right w:val="none" w:sz="0" w:space="0" w:color="auto"/>
                              </w:divBdr>
                            </w:div>
                            <w:div w:id="1686401623">
                              <w:marLeft w:val="0"/>
                              <w:marRight w:val="0"/>
                              <w:marTop w:val="0"/>
                              <w:marBottom w:val="0"/>
                              <w:divBdr>
                                <w:top w:val="none" w:sz="0" w:space="0" w:color="auto"/>
                                <w:left w:val="none" w:sz="0" w:space="0" w:color="auto"/>
                                <w:bottom w:val="none" w:sz="0" w:space="0" w:color="auto"/>
                                <w:right w:val="none" w:sz="0" w:space="0" w:color="auto"/>
                              </w:divBdr>
                            </w:div>
                            <w:div w:id="204428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8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90509">
      <w:bodyDiv w:val="1"/>
      <w:marLeft w:val="0"/>
      <w:marRight w:val="0"/>
      <w:marTop w:val="0"/>
      <w:marBottom w:val="0"/>
      <w:divBdr>
        <w:top w:val="none" w:sz="0" w:space="0" w:color="auto"/>
        <w:left w:val="none" w:sz="0" w:space="0" w:color="auto"/>
        <w:bottom w:val="none" w:sz="0" w:space="0" w:color="auto"/>
        <w:right w:val="none" w:sz="0" w:space="0" w:color="auto"/>
      </w:divBdr>
      <w:divsChild>
        <w:div w:id="91515667">
          <w:marLeft w:val="0"/>
          <w:marRight w:val="0"/>
          <w:marTop w:val="0"/>
          <w:marBottom w:val="0"/>
          <w:divBdr>
            <w:top w:val="none" w:sz="0" w:space="0" w:color="auto"/>
            <w:left w:val="none" w:sz="0" w:space="0" w:color="auto"/>
            <w:bottom w:val="none" w:sz="0" w:space="0" w:color="auto"/>
            <w:right w:val="none" w:sz="0" w:space="0" w:color="auto"/>
          </w:divBdr>
          <w:divsChild>
            <w:div w:id="624627516">
              <w:marLeft w:val="0"/>
              <w:marRight w:val="0"/>
              <w:marTop w:val="0"/>
              <w:marBottom w:val="0"/>
              <w:divBdr>
                <w:top w:val="none" w:sz="0" w:space="0" w:color="auto"/>
                <w:left w:val="none" w:sz="0" w:space="0" w:color="auto"/>
                <w:bottom w:val="none" w:sz="0" w:space="0" w:color="auto"/>
                <w:right w:val="none" w:sz="0" w:space="0" w:color="auto"/>
              </w:divBdr>
              <w:divsChild>
                <w:div w:id="1685128994">
                  <w:marLeft w:val="618"/>
                  <w:marRight w:val="618"/>
                  <w:marTop w:val="0"/>
                  <w:marBottom w:val="0"/>
                  <w:divBdr>
                    <w:top w:val="none" w:sz="0" w:space="0" w:color="auto"/>
                    <w:left w:val="none" w:sz="0" w:space="0" w:color="auto"/>
                    <w:bottom w:val="none" w:sz="0" w:space="0" w:color="auto"/>
                    <w:right w:val="none" w:sz="0" w:space="0" w:color="auto"/>
                  </w:divBdr>
                  <w:divsChild>
                    <w:div w:id="1450590589">
                      <w:marLeft w:val="0"/>
                      <w:marRight w:val="0"/>
                      <w:marTop w:val="0"/>
                      <w:marBottom w:val="0"/>
                      <w:divBdr>
                        <w:top w:val="none" w:sz="0" w:space="0" w:color="auto"/>
                        <w:left w:val="none" w:sz="0" w:space="0" w:color="auto"/>
                        <w:bottom w:val="none" w:sz="0" w:space="0" w:color="auto"/>
                        <w:right w:val="none" w:sz="0" w:space="0" w:color="auto"/>
                      </w:divBdr>
                      <w:divsChild>
                        <w:div w:id="886994724">
                          <w:marLeft w:val="0"/>
                          <w:marRight w:val="0"/>
                          <w:marTop w:val="0"/>
                          <w:marBottom w:val="0"/>
                          <w:divBdr>
                            <w:top w:val="none" w:sz="0" w:space="0" w:color="auto"/>
                            <w:left w:val="none" w:sz="0" w:space="0" w:color="auto"/>
                            <w:bottom w:val="none" w:sz="0" w:space="0" w:color="auto"/>
                            <w:right w:val="none" w:sz="0" w:space="0" w:color="auto"/>
                          </w:divBdr>
                          <w:divsChild>
                            <w:div w:id="1701198863">
                              <w:marLeft w:val="0"/>
                              <w:marRight w:val="0"/>
                              <w:marTop w:val="0"/>
                              <w:marBottom w:val="0"/>
                              <w:divBdr>
                                <w:top w:val="none" w:sz="0" w:space="0" w:color="auto"/>
                                <w:left w:val="none" w:sz="0" w:space="0" w:color="auto"/>
                                <w:bottom w:val="none" w:sz="0" w:space="0" w:color="auto"/>
                                <w:right w:val="none" w:sz="0" w:space="0" w:color="auto"/>
                              </w:divBdr>
                              <w:divsChild>
                                <w:div w:id="471292056">
                                  <w:marLeft w:val="240"/>
                                  <w:marRight w:val="240"/>
                                  <w:marTop w:val="312"/>
                                  <w:marBottom w:val="312"/>
                                  <w:divBdr>
                                    <w:top w:val="none" w:sz="0" w:space="0" w:color="auto"/>
                                    <w:left w:val="none" w:sz="0" w:space="0" w:color="auto"/>
                                    <w:bottom w:val="none" w:sz="0" w:space="0" w:color="auto"/>
                                    <w:right w:val="none" w:sz="0" w:space="0" w:color="auto"/>
                                  </w:divBdr>
                                  <w:divsChild>
                                    <w:div w:id="212549547">
                                      <w:marLeft w:val="0"/>
                                      <w:marRight w:val="0"/>
                                      <w:marTop w:val="0"/>
                                      <w:marBottom w:val="0"/>
                                      <w:divBdr>
                                        <w:top w:val="single" w:sz="6" w:space="0" w:color="7D98CB"/>
                                        <w:left w:val="single" w:sz="6" w:space="0" w:color="7D98CB"/>
                                        <w:bottom w:val="single" w:sz="6" w:space="0" w:color="7D98CB"/>
                                        <w:right w:val="single" w:sz="6" w:space="0" w:color="7D98CB"/>
                                      </w:divBdr>
                                    </w:div>
                                    <w:div w:id="974139406">
                                      <w:marLeft w:val="0"/>
                                      <w:marRight w:val="0"/>
                                      <w:marTop w:val="0"/>
                                      <w:marBottom w:val="0"/>
                                      <w:divBdr>
                                        <w:top w:val="none" w:sz="0" w:space="0" w:color="auto"/>
                                        <w:left w:val="none" w:sz="0" w:space="0" w:color="auto"/>
                                        <w:bottom w:val="none" w:sz="0" w:space="0" w:color="auto"/>
                                        <w:right w:val="none" w:sz="0" w:space="0" w:color="auto"/>
                                      </w:divBdr>
                                    </w:div>
                                  </w:divsChild>
                                </w:div>
                                <w:div w:id="5198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7710577">
      <w:bodyDiv w:val="1"/>
      <w:marLeft w:val="0"/>
      <w:marRight w:val="0"/>
      <w:marTop w:val="0"/>
      <w:marBottom w:val="0"/>
      <w:divBdr>
        <w:top w:val="none" w:sz="0" w:space="0" w:color="auto"/>
        <w:left w:val="none" w:sz="0" w:space="0" w:color="auto"/>
        <w:bottom w:val="none" w:sz="0" w:space="0" w:color="auto"/>
        <w:right w:val="none" w:sz="0" w:space="0" w:color="auto"/>
      </w:divBdr>
      <w:divsChild>
        <w:div w:id="570700492">
          <w:marLeft w:val="1555"/>
          <w:marRight w:val="0"/>
          <w:marTop w:val="115"/>
          <w:marBottom w:val="0"/>
          <w:divBdr>
            <w:top w:val="none" w:sz="0" w:space="0" w:color="auto"/>
            <w:left w:val="none" w:sz="0" w:space="0" w:color="auto"/>
            <w:bottom w:val="none" w:sz="0" w:space="0" w:color="auto"/>
            <w:right w:val="none" w:sz="0" w:space="0" w:color="auto"/>
          </w:divBdr>
        </w:div>
      </w:divsChild>
    </w:div>
    <w:div w:id="1668241774">
      <w:bodyDiv w:val="1"/>
      <w:marLeft w:val="0"/>
      <w:marRight w:val="0"/>
      <w:marTop w:val="0"/>
      <w:marBottom w:val="0"/>
      <w:divBdr>
        <w:top w:val="none" w:sz="0" w:space="0" w:color="auto"/>
        <w:left w:val="none" w:sz="0" w:space="0" w:color="auto"/>
        <w:bottom w:val="none" w:sz="0" w:space="0" w:color="auto"/>
        <w:right w:val="none" w:sz="0" w:space="0" w:color="auto"/>
      </w:divBdr>
    </w:div>
    <w:div w:id="1691369154">
      <w:bodyDiv w:val="1"/>
      <w:marLeft w:val="0"/>
      <w:marRight w:val="0"/>
      <w:marTop w:val="0"/>
      <w:marBottom w:val="0"/>
      <w:divBdr>
        <w:top w:val="none" w:sz="0" w:space="0" w:color="auto"/>
        <w:left w:val="none" w:sz="0" w:space="0" w:color="auto"/>
        <w:bottom w:val="none" w:sz="0" w:space="0" w:color="auto"/>
        <w:right w:val="none" w:sz="0" w:space="0" w:color="auto"/>
      </w:divBdr>
    </w:div>
    <w:div w:id="1755979982">
      <w:bodyDiv w:val="1"/>
      <w:marLeft w:val="0"/>
      <w:marRight w:val="0"/>
      <w:marTop w:val="0"/>
      <w:marBottom w:val="0"/>
      <w:divBdr>
        <w:top w:val="none" w:sz="0" w:space="0" w:color="auto"/>
        <w:left w:val="none" w:sz="0" w:space="0" w:color="auto"/>
        <w:bottom w:val="none" w:sz="0" w:space="0" w:color="auto"/>
        <w:right w:val="none" w:sz="0" w:space="0" w:color="auto"/>
      </w:divBdr>
    </w:div>
    <w:div w:id="1764258036">
      <w:bodyDiv w:val="1"/>
      <w:marLeft w:val="0"/>
      <w:marRight w:val="0"/>
      <w:marTop w:val="0"/>
      <w:marBottom w:val="0"/>
      <w:divBdr>
        <w:top w:val="none" w:sz="0" w:space="0" w:color="auto"/>
        <w:left w:val="none" w:sz="0" w:space="0" w:color="auto"/>
        <w:bottom w:val="none" w:sz="0" w:space="0" w:color="auto"/>
        <w:right w:val="none" w:sz="0" w:space="0" w:color="auto"/>
      </w:divBdr>
    </w:div>
    <w:div w:id="1780644599">
      <w:bodyDiv w:val="1"/>
      <w:marLeft w:val="0"/>
      <w:marRight w:val="0"/>
      <w:marTop w:val="0"/>
      <w:marBottom w:val="0"/>
      <w:divBdr>
        <w:top w:val="none" w:sz="0" w:space="0" w:color="auto"/>
        <w:left w:val="none" w:sz="0" w:space="0" w:color="auto"/>
        <w:bottom w:val="none" w:sz="0" w:space="0" w:color="auto"/>
        <w:right w:val="none" w:sz="0" w:space="0" w:color="auto"/>
      </w:divBdr>
      <w:divsChild>
        <w:div w:id="380250805">
          <w:marLeft w:val="0"/>
          <w:marRight w:val="0"/>
          <w:marTop w:val="0"/>
          <w:marBottom w:val="0"/>
          <w:divBdr>
            <w:top w:val="none" w:sz="0" w:space="0" w:color="auto"/>
            <w:left w:val="none" w:sz="0" w:space="0" w:color="auto"/>
            <w:bottom w:val="none" w:sz="0" w:space="0" w:color="auto"/>
            <w:right w:val="none" w:sz="0" w:space="0" w:color="auto"/>
          </w:divBdr>
          <w:divsChild>
            <w:div w:id="556165655">
              <w:marLeft w:val="0"/>
              <w:marRight w:val="0"/>
              <w:marTop w:val="0"/>
              <w:marBottom w:val="0"/>
              <w:divBdr>
                <w:top w:val="none" w:sz="0" w:space="0" w:color="auto"/>
                <w:left w:val="none" w:sz="0" w:space="0" w:color="auto"/>
                <w:bottom w:val="none" w:sz="0" w:space="0" w:color="auto"/>
                <w:right w:val="none" w:sz="0" w:space="0" w:color="auto"/>
              </w:divBdr>
              <w:divsChild>
                <w:div w:id="1773209258">
                  <w:marLeft w:val="0"/>
                  <w:marRight w:val="0"/>
                  <w:marTop w:val="0"/>
                  <w:marBottom w:val="0"/>
                  <w:divBdr>
                    <w:top w:val="none" w:sz="0" w:space="0" w:color="auto"/>
                    <w:left w:val="none" w:sz="0" w:space="0" w:color="auto"/>
                    <w:bottom w:val="none" w:sz="0" w:space="0" w:color="auto"/>
                    <w:right w:val="none" w:sz="0" w:space="0" w:color="auto"/>
                  </w:divBdr>
                  <w:divsChild>
                    <w:div w:id="3993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680197">
      <w:bodyDiv w:val="1"/>
      <w:marLeft w:val="0"/>
      <w:marRight w:val="0"/>
      <w:marTop w:val="0"/>
      <w:marBottom w:val="0"/>
      <w:divBdr>
        <w:top w:val="none" w:sz="0" w:space="0" w:color="auto"/>
        <w:left w:val="none" w:sz="0" w:space="0" w:color="auto"/>
        <w:bottom w:val="none" w:sz="0" w:space="0" w:color="auto"/>
        <w:right w:val="none" w:sz="0" w:space="0" w:color="auto"/>
      </w:divBdr>
      <w:divsChild>
        <w:div w:id="1114250675">
          <w:marLeft w:val="0"/>
          <w:marRight w:val="0"/>
          <w:marTop w:val="0"/>
          <w:marBottom w:val="0"/>
          <w:divBdr>
            <w:top w:val="none" w:sz="0" w:space="0" w:color="auto"/>
            <w:left w:val="none" w:sz="0" w:space="0" w:color="auto"/>
            <w:bottom w:val="none" w:sz="0" w:space="0" w:color="auto"/>
            <w:right w:val="none" w:sz="0" w:space="0" w:color="auto"/>
          </w:divBdr>
          <w:divsChild>
            <w:div w:id="198008226">
              <w:marLeft w:val="0"/>
              <w:marRight w:val="0"/>
              <w:marTop w:val="0"/>
              <w:marBottom w:val="0"/>
              <w:divBdr>
                <w:top w:val="none" w:sz="0" w:space="0" w:color="auto"/>
                <w:left w:val="none" w:sz="0" w:space="0" w:color="auto"/>
                <w:bottom w:val="none" w:sz="0" w:space="0" w:color="auto"/>
                <w:right w:val="none" w:sz="0" w:space="0" w:color="auto"/>
              </w:divBdr>
              <w:divsChild>
                <w:div w:id="1439760588">
                  <w:marLeft w:val="0"/>
                  <w:marRight w:val="0"/>
                  <w:marTop w:val="0"/>
                  <w:marBottom w:val="0"/>
                  <w:divBdr>
                    <w:top w:val="none" w:sz="0" w:space="0" w:color="auto"/>
                    <w:left w:val="none" w:sz="0" w:space="0" w:color="auto"/>
                    <w:bottom w:val="none" w:sz="0" w:space="0" w:color="auto"/>
                    <w:right w:val="none" w:sz="0" w:space="0" w:color="auto"/>
                  </w:divBdr>
                  <w:divsChild>
                    <w:div w:id="414015150">
                      <w:marLeft w:val="0"/>
                      <w:marRight w:val="0"/>
                      <w:marTop w:val="0"/>
                      <w:marBottom w:val="0"/>
                      <w:divBdr>
                        <w:top w:val="none" w:sz="0" w:space="0" w:color="auto"/>
                        <w:left w:val="none" w:sz="0" w:space="0" w:color="auto"/>
                        <w:bottom w:val="none" w:sz="0" w:space="0" w:color="auto"/>
                        <w:right w:val="none" w:sz="0" w:space="0" w:color="auto"/>
                      </w:divBdr>
                      <w:divsChild>
                        <w:div w:id="1638149757">
                          <w:marLeft w:val="0"/>
                          <w:marRight w:val="0"/>
                          <w:marTop w:val="0"/>
                          <w:marBottom w:val="0"/>
                          <w:divBdr>
                            <w:top w:val="none" w:sz="0" w:space="0" w:color="auto"/>
                            <w:left w:val="none" w:sz="0" w:space="0" w:color="auto"/>
                            <w:bottom w:val="none" w:sz="0" w:space="0" w:color="auto"/>
                            <w:right w:val="none" w:sz="0" w:space="0" w:color="auto"/>
                          </w:divBdr>
                          <w:divsChild>
                            <w:div w:id="340937296">
                              <w:marLeft w:val="0"/>
                              <w:marRight w:val="0"/>
                              <w:marTop w:val="0"/>
                              <w:marBottom w:val="0"/>
                              <w:divBdr>
                                <w:top w:val="none" w:sz="0" w:space="0" w:color="auto"/>
                                <w:left w:val="none" w:sz="0" w:space="0" w:color="auto"/>
                                <w:bottom w:val="none" w:sz="0" w:space="0" w:color="auto"/>
                                <w:right w:val="none" w:sz="0" w:space="0" w:color="auto"/>
                              </w:divBdr>
                            </w:div>
                            <w:div w:id="1051223694">
                              <w:marLeft w:val="0"/>
                              <w:marRight w:val="0"/>
                              <w:marTop w:val="0"/>
                              <w:marBottom w:val="0"/>
                              <w:divBdr>
                                <w:top w:val="none" w:sz="0" w:space="0" w:color="auto"/>
                                <w:left w:val="none" w:sz="0" w:space="0" w:color="auto"/>
                                <w:bottom w:val="none" w:sz="0" w:space="0" w:color="auto"/>
                                <w:right w:val="none" w:sz="0" w:space="0" w:color="auto"/>
                              </w:divBdr>
                            </w:div>
                            <w:div w:id="1101796629">
                              <w:marLeft w:val="0"/>
                              <w:marRight w:val="0"/>
                              <w:marTop w:val="0"/>
                              <w:marBottom w:val="0"/>
                              <w:divBdr>
                                <w:top w:val="none" w:sz="0" w:space="0" w:color="auto"/>
                                <w:left w:val="none" w:sz="0" w:space="0" w:color="auto"/>
                                <w:bottom w:val="none" w:sz="0" w:space="0" w:color="auto"/>
                                <w:right w:val="none" w:sz="0" w:space="0" w:color="auto"/>
                              </w:divBdr>
                            </w:div>
                            <w:div w:id="1324620305">
                              <w:marLeft w:val="0"/>
                              <w:marRight w:val="0"/>
                              <w:marTop w:val="0"/>
                              <w:marBottom w:val="0"/>
                              <w:divBdr>
                                <w:top w:val="none" w:sz="0" w:space="0" w:color="auto"/>
                                <w:left w:val="none" w:sz="0" w:space="0" w:color="auto"/>
                                <w:bottom w:val="none" w:sz="0" w:space="0" w:color="auto"/>
                                <w:right w:val="none" w:sz="0" w:space="0" w:color="auto"/>
                              </w:divBdr>
                            </w:div>
                            <w:div w:id="1334604553">
                              <w:marLeft w:val="0"/>
                              <w:marRight w:val="0"/>
                              <w:marTop w:val="0"/>
                              <w:marBottom w:val="0"/>
                              <w:divBdr>
                                <w:top w:val="none" w:sz="0" w:space="0" w:color="auto"/>
                                <w:left w:val="none" w:sz="0" w:space="0" w:color="auto"/>
                                <w:bottom w:val="none" w:sz="0" w:space="0" w:color="auto"/>
                                <w:right w:val="none" w:sz="0" w:space="0" w:color="auto"/>
                              </w:divBdr>
                            </w:div>
                            <w:div w:id="1419445452">
                              <w:marLeft w:val="0"/>
                              <w:marRight w:val="0"/>
                              <w:marTop w:val="0"/>
                              <w:marBottom w:val="0"/>
                              <w:divBdr>
                                <w:top w:val="none" w:sz="0" w:space="0" w:color="auto"/>
                                <w:left w:val="none" w:sz="0" w:space="0" w:color="auto"/>
                                <w:bottom w:val="none" w:sz="0" w:space="0" w:color="auto"/>
                                <w:right w:val="none" w:sz="0" w:space="0" w:color="auto"/>
                              </w:divBdr>
                            </w:div>
                            <w:div w:id="19383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395033">
      <w:bodyDiv w:val="1"/>
      <w:marLeft w:val="0"/>
      <w:marRight w:val="0"/>
      <w:marTop w:val="0"/>
      <w:marBottom w:val="0"/>
      <w:divBdr>
        <w:top w:val="none" w:sz="0" w:space="0" w:color="auto"/>
        <w:left w:val="none" w:sz="0" w:space="0" w:color="auto"/>
        <w:bottom w:val="none" w:sz="0" w:space="0" w:color="auto"/>
        <w:right w:val="none" w:sz="0" w:space="0" w:color="auto"/>
      </w:divBdr>
      <w:divsChild>
        <w:div w:id="279066655">
          <w:marLeft w:val="2160"/>
          <w:marRight w:val="0"/>
          <w:marTop w:val="96"/>
          <w:marBottom w:val="0"/>
          <w:divBdr>
            <w:top w:val="none" w:sz="0" w:space="0" w:color="auto"/>
            <w:left w:val="none" w:sz="0" w:space="0" w:color="auto"/>
            <w:bottom w:val="none" w:sz="0" w:space="0" w:color="auto"/>
            <w:right w:val="none" w:sz="0" w:space="0" w:color="auto"/>
          </w:divBdr>
        </w:div>
        <w:div w:id="1326128430">
          <w:marLeft w:val="2160"/>
          <w:marRight w:val="0"/>
          <w:marTop w:val="96"/>
          <w:marBottom w:val="0"/>
          <w:divBdr>
            <w:top w:val="none" w:sz="0" w:space="0" w:color="auto"/>
            <w:left w:val="none" w:sz="0" w:space="0" w:color="auto"/>
            <w:bottom w:val="none" w:sz="0" w:space="0" w:color="auto"/>
            <w:right w:val="none" w:sz="0" w:space="0" w:color="auto"/>
          </w:divBdr>
        </w:div>
        <w:div w:id="1577982593">
          <w:marLeft w:val="2160"/>
          <w:marRight w:val="0"/>
          <w:marTop w:val="96"/>
          <w:marBottom w:val="0"/>
          <w:divBdr>
            <w:top w:val="none" w:sz="0" w:space="0" w:color="auto"/>
            <w:left w:val="none" w:sz="0" w:space="0" w:color="auto"/>
            <w:bottom w:val="none" w:sz="0" w:space="0" w:color="auto"/>
            <w:right w:val="none" w:sz="0" w:space="0" w:color="auto"/>
          </w:divBdr>
        </w:div>
      </w:divsChild>
    </w:div>
    <w:div w:id="1877351414">
      <w:bodyDiv w:val="1"/>
      <w:marLeft w:val="0"/>
      <w:marRight w:val="0"/>
      <w:marTop w:val="0"/>
      <w:marBottom w:val="0"/>
      <w:divBdr>
        <w:top w:val="none" w:sz="0" w:space="0" w:color="auto"/>
        <w:left w:val="none" w:sz="0" w:space="0" w:color="auto"/>
        <w:bottom w:val="none" w:sz="0" w:space="0" w:color="auto"/>
        <w:right w:val="none" w:sz="0" w:space="0" w:color="auto"/>
      </w:divBdr>
    </w:div>
    <w:div w:id="1947956453">
      <w:bodyDiv w:val="1"/>
      <w:marLeft w:val="0"/>
      <w:marRight w:val="0"/>
      <w:marTop w:val="0"/>
      <w:marBottom w:val="0"/>
      <w:divBdr>
        <w:top w:val="none" w:sz="0" w:space="0" w:color="auto"/>
        <w:left w:val="none" w:sz="0" w:space="0" w:color="auto"/>
        <w:bottom w:val="none" w:sz="0" w:space="0" w:color="auto"/>
        <w:right w:val="none" w:sz="0" w:space="0" w:color="auto"/>
      </w:divBdr>
    </w:div>
    <w:div w:id="1950820850">
      <w:bodyDiv w:val="1"/>
      <w:marLeft w:val="0"/>
      <w:marRight w:val="0"/>
      <w:marTop w:val="0"/>
      <w:marBottom w:val="0"/>
      <w:divBdr>
        <w:top w:val="none" w:sz="0" w:space="0" w:color="auto"/>
        <w:left w:val="none" w:sz="0" w:space="0" w:color="auto"/>
        <w:bottom w:val="none" w:sz="0" w:space="0" w:color="auto"/>
        <w:right w:val="none" w:sz="0" w:space="0" w:color="auto"/>
      </w:divBdr>
    </w:div>
    <w:div w:id="1977252835">
      <w:bodyDiv w:val="1"/>
      <w:marLeft w:val="0"/>
      <w:marRight w:val="0"/>
      <w:marTop w:val="0"/>
      <w:marBottom w:val="0"/>
      <w:divBdr>
        <w:top w:val="none" w:sz="0" w:space="0" w:color="auto"/>
        <w:left w:val="none" w:sz="0" w:space="0" w:color="auto"/>
        <w:bottom w:val="none" w:sz="0" w:space="0" w:color="auto"/>
        <w:right w:val="none" w:sz="0" w:space="0" w:color="auto"/>
      </w:divBdr>
      <w:divsChild>
        <w:div w:id="66997726">
          <w:marLeft w:val="1555"/>
          <w:marRight w:val="0"/>
          <w:marTop w:val="115"/>
          <w:marBottom w:val="0"/>
          <w:divBdr>
            <w:top w:val="none" w:sz="0" w:space="0" w:color="auto"/>
            <w:left w:val="none" w:sz="0" w:space="0" w:color="auto"/>
            <w:bottom w:val="none" w:sz="0" w:space="0" w:color="auto"/>
            <w:right w:val="none" w:sz="0" w:space="0" w:color="auto"/>
          </w:divBdr>
        </w:div>
        <w:div w:id="510803571">
          <w:marLeft w:val="1555"/>
          <w:marRight w:val="0"/>
          <w:marTop w:val="115"/>
          <w:marBottom w:val="0"/>
          <w:divBdr>
            <w:top w:val="none" w:sz="0" w:space="0" w:color="auto"/>
            <w:left w:val="none" w:sz="0" w:space="0" w:color="auto"/>
            <w:bottom w:val="none" w:sz="0" w:space="0" w:color="auto"/>
            <w:right w:val="none" w:sz="0" w:space="0" w:color="auto"/>
          </w:divBdr>
        </w:div>
        <w:div w:id="1414932476">
          <w:marLeft w:val="1555"/>
          <w:marRight w:val="0"/>
          <w:marTop w:val="115"/>
          <w:marBottom w:val="0"/>
          <w:divBdr>
            <w:top w:val="none" w:sz="0" w:space="0" w:color="auto"/>
            <w:left w:val="none" w:sz="0" w:space="0" w:color="auto"/>
            <w:bottom w:val="none" w:sz="0" w:space="0" w:color="auto"/>
            <w:right w:val="none" w:sz="0" w:space="0" w:color="auto"/>
          </w:divBdr>
        </w:div>
      </w:divsChild>
    </w:div>
    <w:div w:id="1986884207">
      <w:bodyDiv w:val="1"/>
      <w:marLeft w:val="0"/>
      <w:marRight w:val="0"/>
      <w:marTop w:val="0"/>
      <w:marBottom w:val="0"/>
      <w:divBdr>
        <w:top w:val="none" w:sz="0" w:space="0" w:color="auto"/>
        <w:left w:val="none" w:sz="0" w:space="0" w:color="auto"/>
        <w:bottom w:val="none" w:sz="0" w:space="0" w:color="auto"/>
        <w:right w:val="none" w:sz="0" w:space="0" w:color="auto"/>
      </w:divBdr>
      <w:divsChild>
        <w:div w:id="685063143">
          <w:marLeft w:val="1555"/>
          <w:marRight w:val="0"/>
          <w:marTop w:val="115"/>
          <w:marBottom w:val="0"/>
          <w:divBdr>
            <w:top w:val="none" w:sz="0" w:space="0" w:color="auto"/>
            <w:left w:val="none" w:sz="0" w:space="0" w:color="auto"/>
            <w:bottom w:val="none" w:sz="0" w:space="0" w:color="auto"/>
            <w:right w:val="none" w:sz="0" w:space="0" w:color="auto"/>
          </w:divBdr>
        </w:div>
        <w:div w:id="946500836">
          <w:marLeft w:val="1555"/>
          <w:marRight w:val="0"/>
          <w:marTop w:val="115"/>
          <w:marBottom w:val="0"/>
          <w:divBdr>
            <w:top w:val="none" w:sz="0" w:space="0" w:color="auto"/>
            <w:left w:val="none" w:sz="0" w:space="0" w:color="auto"/>
            <w:bottom w:val="none" w:sz="0" w:space="0" w:color="auto"/>
            <w:right w:val="none" w:sz="0" w:space="0" w:color="auto"/>
          </w:divBdr>
        </w:div>
        <w:div w:id="1169491131">
          <w:marLeft w:val="1555"/>
          <w:marRight w:val="0"/>
          <w:marTop w:val="115"/>
          <w:marBottom w:val="0"/>
          <w:divBdr>
            <w:top w:val="none" w:sz="0" w:space="0" w:color="auto"/>
            <w:left w:val="none" w:sz="0" w:space="0" w:color="auto"/>
            <w:bottom w:val="none" w:sz="0" w:space="0" w:color="auto"/>
            <w:right w:val="none" w:sz="0" w:space="0" w:color="auto"/>
          </w:divBdr>
        </w:div>
      </w:divsChild>
    </w:div>
    <w:div w:id="2008097931">
      <w:bodyDiv w:val="1"/>
      <w:marLeft w:val="0"/>
      <w:marRight w:val="0"/>
      <w:marTop w:val="0"/>
      <w:marBottom w:val="0"/>
      <w:divBdr>
        <w:top w:val="none" w:sz="0" w:space="0" w:color="auto"/>
        <w:left w:val="none" w:sz="0" w:space="0" w:color="auto"/>
        <w:bottom w:val="none" w:sz="0" w:space="0" w:color="auto"/>
        <w:right w:val="none" w:sz="0" w:space="0" w:color="auto"/>
      </w:divBdr>
    </w:div>
    <w:div w:id="2052461728">
      <w:bodyDiv w:val="1"/>
      <w:marLeft w:val="0"/>
      <w:marRight w:val="0"/>
      <w:marTop w:val="0"/>
      <w:marBottom w:val="0"/>
      <w:divBdr>
        <w:top w:val="none" w:sz="0" w:space="0" w:color="auto"/>
        <w:left w:val="none" w:sz="0" w:space="0" w:color="auto"/>
        <w:bottom w:val="none" w:sz="0" w:space="0" w:color="auto"/>
        <w:right w:val="none" w:sz="0" w:space="0" w:color="auto"/>
      </w:divBdr>
      <w:divsChild>
        <w:div w:id="1985574573">
          <w:marLeft w:val="0"/>
          <w:marRight w:val="0"/>
          <w:marTop w:val="0"/>
          <w:marBottom w:val="0"/>
          <w:divBdr>
            <w:top w:val="none" w:sz="0" w:space="0" w:color="auto"/>
            <w:left w:val="none" w:sz="0" w:space="0" w:color="auto"/>
            <w:bottom w:val="none" w:sz="0" w:space="0" w:color="auto"/>
            <w:right w:val="none" w:sz="0" w:space="0" w:color="auto"/>
          </w:divBdr>
          <w:divsChild>
            <w:div w:id="1422145036">
              <w:marLeft w:val="0"/>
              <w:marRight w:val="0"/>
              <w:marTop w:val="0"/>
              <w:marBottom w:val="0"/>
              <w:divBdr>
                <w:top w:val="none" w:sz="0" w:space="0" w:color="auto"/>
                <w:left w:val="none" w:sz="0" w:space="0" w:color="auto"/>
                <w:bottom w:val="none" w:sz="0" w:space="0" w:color="auto"/>
                <w:right w:val="none" w:sz="0" w:space="0" w:color="auto"/>
              </w:divBdr>
              <w:divsChild>
                <w:div w:id="601110444">
                  <w:marLeft w:val="0"/>
                  <w:marRight w:val="0"/>
                  <w:marTop w:val="0"/>
                  <w:marBottom w:val="0"/>
                  <w:divBdr>
                    <w:top w:val="none" w:sz="0" w:space="0" w:color="auto"/>
                    <w:left w:val="none" w:sz="0" w:space="0" w:color="auto"/>
                    <w:bottom w:val="none" w:sz="0" w:space="0" w:color="auto"/>
                    <w:right w:val="none" w:sz="0" w:space="0" w:color="auto"/>
                  </w:divBdr>
                  <w:divsChild>
                    <w:div w:id="47993849">
                      <w:marLeft w:val="0"/>
                      <w:marRight w:val="0"/>
                      <w:marTop w:val="0"/>
                      <w:marBottom w:val="0"/>
                      <w:divBdr>
                        <w:top w:val="none" w:sz="0" w:space="0" w:color="auto"/>
                        <w:left w:val="none" w:sz="0" w:space="0" w:color="auto"/>
                        <w:bottom w:val="none" w:sz="0" w:space="0" w:color="auto"/>
                        <w:right w:val="none" w:sz="0" w:space="0" w:color="auto"/>
                      </w:divBdr>
                      <w:divsChild>
                        <w:div w:id="1080833088">
                          <w:marLeft w:val="0"/>
                          <w:marRight w:val="0"/>
                          <w:marTop w:val="0"/>
                          <w:marBottom w:val="0"/>
                          <w:divBdr>
                            <w:top w:val="none" w:sz="0" w:space="0" w:color="auto"/>
                            <w:left w:val="none" w:sz="0" w:space="0" w:color="auto"/>
                            <w:bottom w:val="none" w:sz="0" w:space="0" w:color="auto"/>
                            <w:right w:val="none" w:sz="0" w:space="0" w:color="auto"/>
                          </w:divBdr>
                          <w:divsChild>
                            <w:div w:id="6539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63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6.tiff"/><Relationship Id="rId26" Type="http://schemas.openxmlformats.org/officeDocument/2006/relationships/image" Target="media/image10.png"/><Relationship Id="rId39" Type="http://schemas.openxmlformats.org/officeDocument/2006/relationships/hyperlink" Target="https://fr.statista.com/infographie/18624/comparaison-consommation-energetique-electricite-bitcoin-et-pays/" TargetMode="External"/><Relationship Id="rId21" Type="http://schemas.openxmlformats.org/officeDocument/2006/relationships/hyperlink" Target="https://www.naa.gov.au/sites/default/files/2021-06/Information-Asset-Register-template.XLSX" TargetMode="External"/><Relationship Id="rId34" Type="http://schemas.openxmlformats.org/officeDocument/2006/relationships/hyperlink" Target="https://www.everteam.com/en/information-governance-innovations-in-2019/" TargetMode="External"/><Relationship Id="rId42" Type="http://schemas.openxmlformats.org/officeDocument/2006/relationships/hyperlink" Target="https://www.sla.org/wp-content/uploads/2015/06/1650_Demystifying-the-Information-AuditHenczel.pdf" TargetMode="External"/><Relationship Id="rId47" Type="http://schemas.openxmlformats.org/officeDocument/2006/relationships/hyperlink" Target="http://interparestrust.org/terminology/term/information%20asset" TargetMode="External"/><Relationship Id="rId50" Type="http://schemas.openxmlformats.org/officeDocument/2006/relationships/hyperlink" Target="https://arodes.hes-so.ch/record/7958?ln=fr" TargetMode="External"/><Relationship Id="rId55" Type="http://schemas.openxmlformats.org/officeDocument/2006/relationships/hyperlink" Target="https://adm.monash.edu/records-archives/archives/IAR/information-asset-register.xml" TargetMode="External"/><Relationship Id="rId63" Type="http://schemas.openxmlformats.org/officeDocument/2006/relationships/hyperlink" Target="http://www.3org.com/news/gouvernance_de_linformation/definition-de-la-gouvernance-de-linformation/" TargetMode="External"/><Relationship Id="rId68" Type="http://schemas.openxmlformats.org/officeDocument/2006/relationships/hyperlink" Target="http://community.aiim.org/blogs/robert-smallwood/2014/08/18/defining-the-differences-between-information-governance-it-governance--data-governance"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www.visiativ-industry.ch/transformation-numerique-industrie/"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yperlink" Target="https://www.statista.com/statistics/273550/data-breaches-recorded-in-the-united-states-by-number-of-breaches-and-records-exposed/" TargetMode="External"/><Relationship Id="rId11" Type="http://schemas.openxmlformats.org/officeDocument/2006/relationships/image" Target="media/image4.jpeg"/><Relationship Id="rId24" Type="http://schemas.openxmlformats.org/officeDocument/2006/relationships/hyperlink" Target="https://adm.monash.edu/records-archives/archives/IAR/information-asset-register.xml" TargetMode="External"/><Relationship Id="rId32" Type="http://schemas.openxmlformats.org/officeDocument/2006/relationships/hyperlink" Target="https://www.workflowotg.com/remote-work-and-information-governance/" TargetMode="External"/><Relationship Id="rId37" Type="http://schemas.openxmlformats.org/officeDocument/2006/relationships/hyperlink" Target="https://www.ictjournal.ch/news/2019-02-15/comment-justitia-40-compte-dematerialiser-la-justice-suisse" TargetMode="External"/><Relationship Id="rId40" Type="http://schemas.openxmlformats.org/officeDocument/2006/relationships/hyperlink" Target="https://www.gouvernement.fr/action/action-publique-2022-pour-une-transformation-du-service-public" TargetMode="External"/><Relationship Id="rId45" Type="http://schemas.openxmlformats.org/officeDocument/2006/relationships/hyperlink" Target="https://interparestrust.org/terminology/term/governance/en" TargetMode="External"/><Relationship Id="rId53" Type="http://schemas.openxmlformats.org/officeDocument/2006/relationships/hyperlink" Target="https://teris.com/information-governance-in-the-cloud-9-trends-to-watch-2/" TargetMode="External"/><Relationship Id="rId58" Type="http://schemas.openxmlformats.org/officeDocument/2006/relationships/hyperlink" Target="https://www.naa.gov.au/information-management/information-governance/conducting-information-review/designing-and-maintaining-information-asset-register" TargetMode="External"/><Relationship Id="rId66" Type="http://schemas.openxmlformats.org/officeDocument/2006/relationships/hyperlink" Target="http://collections.banq.qc.ca/ark:/52327/2959773"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iso.org/files/live/sites/isoorg/files/archive/pdf/fr/iso_iec_guide_2_2004.pdf"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www.grcworldforums.com/governance/remote-working-the-information-governance-challenge-of-the-decade/416.article" TargetMode="External"/><Relationship Id="rId44" Type="http://schemas.openxmlformats.org/officeDocument/2006/relationships/hyperlink" Target="https://iginitiative.com/wp-content/uploads/The-State-of-IG-Report-Volume-III-highres.pdf" TargetMode="External"/><Relationship Id="rId52" Type="http://schemas.openxmlformats.org/officeDocument/2006/relationships/hyperlink" Target="https://info.aiim.org/accessible-and-secure-best-practices-for-automating-information-governance" TargetMode="External"/><Relationship Id="rId60" Type="http://schemas.openxmlformats.org/officeDocument/2006/relationships/hyperlink" Target="https://ovic.vic.gov.au/resource/sample-information-asset-register-iar-template/" TargetMode="External"/><Relationship Id="rId65" Type="http://schemas.openxmlformats.org/officeDocument/2006/relationships/hyperlink" Target="http://www.3org.com/news/gouvernance_de_linformation/definition-de-la-gouvernance-de-linformation-par-des-mots-extrait-du-livre-gouvinfo-ocean-bleu/" TargetMode="External"/><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yperlink" Target="https://ovic.vic.gov.au/resource/sample-information-asset-register-iar-template/" TargetMode="External"/><Relationship Id="rId27" Type="http://schemas.openxmlformats.org/officeDocument/2006/relationships/hyperlink" Target="http://dx.doi.org/10.4102/sajim.v18i1.706" TargetMode="External"/><Relationship Id="rId30" Type="http://schemas.openxmlformats.org/officeDocument/2006/relationships/hyperlink" Target="http://www.cigref.fr/cigref_publications/RapportsContainer/Parus2000/2000_-_Gerer_les_connaissances.pdf" TargetMode="External"/><Relationship Id="rId35" Type="http://schemas.openxmlformats.org/officeDocument/2006/relationships/hyperlink" Target="https://www.gartner.com/en/documents/3869701" TargetMode="External"/><Relationship Id="rId43" Type="http://schemas.openxmlformats.org/officeDocument/2006/relationships/hyperlink" Target="https://www.infogovanz.com/resources/" TargetMode="External"/><Relationship Id="rId48" Type="http://schemas.openxmlformats.org/officeDocument/2006/relationships/hyperlink" Target="https://fr.statista.com/infographie/13160/activite-sur-internet-en-une-minute/" TargetMode="External"/><Relationship Id="rId56" Type="http://schemas.openxmlformats.org/officeDocument/2006/relationships/hyperlink" Target="https://www.gartner.com/en/newsroom/press-releases/2018-08-15-gartner-forecasts-worldwide-information-security-spending-to-exceed-124-billion-in-2019" TargetMode="External"/><Relationship Id="rId64" Type="http://schemas.openxmlformats.org/officeDocument/2006/relationships/hyperlink" Target="http://www.3org.com/news/culture_et_usages/rse-rso-nm-sexy-mais-attention-aux-fondamentaux/" TargetMode="External"/><Relationship Id="rId69" Type="http://schemas.openxmlformats.org/officeDocument/2006/relationships/hyperlink" Target="https://www2.archivists.org/glossary/terms/i/information-management"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s://arodes.hes-so.ch/record/3773?ln=fr" TargetMode="External"/><Relationship Id="rId72" Type="http://schemas.openxmlformats.org/officeDocument/2006/relationships/hyperlink" Target="https://www.corporatecomplianceinsights.com/organizations-need-information-asset-register/"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image" Target="media/image9.png"/><Relationship Id="rId33" Type="http://schemas.openxmlformats.org/officeDocument/2006/relationships/hyperlink" Target="https://info.aiim.org/aiim-blog/tips-for-working-remotely-information-governance" TargetMode="External"/><Relationship Id="rId38" Type="http://schemas.openxmlformats.org/officeDocument/2006/relationships/hyperlink" Target="https://doi.org/10.1016/j.ijinfomgt.2016.10.001" TargetMode="External"/><Relationship Id="rId46" Type="http://schemas.openxmlformats.org/officeDocument/2006/relationships/hyperlink" Target="https://interparestrust.org/terminology/term/information/en" TargetMode="External"/><Relationship Id="rId59" Type="http://schemas.openxmlformats.org/officeDocument/2006/relationships/hyperlink" Target="https://www.naa.gov.au/sites/default/files/2021-06/Information-Asset-Register-template.XLSX" TargetMode="External"/><Relationship Id="rId67" Type="http://schemas.openxmlformats.org/officeDocument/2006/relationships/hyperlink" Target="https://fr.wikipedia.org/w/index.php?title=R%C3%A9volution_num%C3%A9rique&amp;oldid=187069229" TargetMode="External"/><Relationship Id="rId20" Type="http://schemas.openxmlformats.org/officeDocument/2006/relationships/image" Target="media/image8.jpeg"/><Relationship Id="rId41" Type="http://schemas.openxmlformats.org/officeDocument/2006/relationships/hyperlink" Target="https://doi.org/10.1177/0266382112436791" TargetMode="External"/><Relationship Id="rId54" Type="http://schemas.openxmlformats.org/officeDocument/2006/relationships/hyperlink" Target="http://eduscol.education.fr/numerique/dossier/archives/metadata/@@document_whole" TargetMode="External"/><Relationship Id="rId62" Type="http://schemas.openxmlformats.org/officeDocument/2006/relationships/hyperlink" Target="http://www.3org.com/news/gouvernance_de_linformation/gestion-de-linformation-comment-definir-le-terme-information/" TargetMode="External"/><Relationship Id="rId70" Type="http://schemas.openxmlformats.org/officeDocument/2006/relationships/hyperlink" Target="https://www.archimag.com/demat-cloud/2019/09/06/service-public-dematerialise-action-publique-2022"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www.nationalarchives.gov.uk/documents/information-management/iar_template.xls" TargetMode="External"/><Relationship Id="rId28" Type="http://schemas.openxmlformats.org/officeDocument/2006/relationships/hyperlink" Target="https://info.aiim.org/10-things-you-need-to-know-about-automating-information-governance" TargetMode="External"/><Relationship Id="rId36" Type="http://schemas.openxmlformats.org/officeDocument/2006/relationships/hyperlink" Target="https://theshiftproject.org/wp-content/uploads/2018/11/Rapport-final-v8-WEB.pdf" TargetMode="External"/><Relationship Id="rId49" Type="http://schemas.openxmlformats.org/officeDocument/2006/relationships/hyperlink" Target="https://arodes.hes-so.ch/record/3209?ln=fr" TargetMode="External"/><Relationship Id="rId57" Type="http://schemas.openxmlformats.org/officeDocument/2006/relationships/hyperlink" Target="https://www.nationalarchives.gov.uk/documents/information-management/identify-information-asset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B57170-9218-45BC-9EE7-FC17F3C811C8}" type="doc">
      <dgm:prSet loTypeId="urn:microsoft.com/office/officeart/2005/8/layout/venn2" loCatId="relationship" qsTypeId="urn:microsoft.com/office/officeart/2005/8/quickstyle/simple4" qsCatId="simple" csTypeId="urn:microsoft.com/office/officeart/2005/8/colors/colorful3" csCatId="colorful" phldr="1"/>
      <dgm:spPr/>
      <dgm:t>
        <a:bodyPr/>
        <a:lstStyle/>
        <a:p>
          <a:endParaRPr lang="fr-CH"/>
        </a:p>
      </dgm:t>
    </dgm:pt>
    <dgm:pt modelId="{2FFB8C11-6384-41EF-B113-034607C1863A}">
      <dgm:prSet phldrT="[Texte]"/>
      <dgm:spPr>
        <a:xfrm>
          <a:off x="147666" y="0"/>
          <a:ext cx="3333750" cy="3333750"/>
        </a:xfrm>
        <a:prstGeom prst="ellipse">
          <a:avLst/>
        </a:prstGeom>
        <a:gradFill rotWithShape="0">
          <a:gsLst>
            <a:gs pos="0">
              <a:srgbClr val="FFFFFF">
                <a:hueOff val="0"/>
                <a:satOff val="0"/>
                <a:lumOff val="0"/>
                <a:alphaOff val="0"/>
                <a:shade val="51000"/>
                <a:satMod val="130000"/>
              </a:srgbClr>
            </a:gs>
            <a:gs pos="80000">
              <a:srgbClr val="FFFFFF">
                <a:hueOff val="0"/>
                <a:satOff val="0"/>
                <a:lumOff val="0"/>
                <a:alphaOff val="0"/>
                <a:shade val="93000"/>
                <a:satMod val="130000"/>
              </a:srgbClr>
            </a:gs>
            <a:gs pos="100000">
              <a:srgbClr val="FFFFFF">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fr-CH" dirty="0">
              <a:solidFill>
                <a:srgbClr val="000000"/>
              </a:solidFill>
              <a:latin typeface="Arial"/>
              <a:ea typeface="+mn-ea"/>
              <a:cs typeface="+mn-cs"/>
            </a:rPr>
            <a:t>Société</a:t>
          </a:r>
        </a:p>
      </dgm:t>
    </dgm:pt>
    <dgm:pt modelId="{B2AA31FE-F916-40AC-919E-7360CD8DEF75}" type="parTrans" cxnId="{699B80FB-B960-406B-85C6-92EABE0CC649}">
      <dgm:prSet/>
      <dgm:spPr/>
      <dgm:t>
        <a:bodyPr/>
        <a:lstStyle/>
        <a:p>
          <a:pPr algn="ctr"/>
          <a:endParaRPr lang="fr-CH"/>
        </a:p>
      </dgm:t>
    </dgm:pt>
    <dgm:pt modelId="{BA03B57B-FE8D-4B95-8CA3-5767347E1BC1}" type="sibTrans" cxnId="{699B80FB-B960-406B-85C6-92EABE0CC649}">
      <dgm:prSet/>
      <dgm:spPr/>
      <dgm:t>
        <a:bodyPr/>
        <a:lstStyle/>
        <a:p>
          <a:pPr algn="ctr"/>
          <a:endParaRPr lang="fr-CH"/>
        </a:p>
      </dgm:t>
    </dgm:pt>
    <dgm:pt modelId="{7FD2C2BD-08F6-4D45-832C-CF3699526122}">
      <dgm:prSet/>
      <dgm:spPr>
        <a:xfrm>
          <a:off x="402431" y="500062"/>
          <a:ext cx="2833687" cy="2833687"/>
        </a:xfrm>
        <a:prstGeom prst="ellipse">
          <a:avLst/>
        </a:prstGeom>
        <a:gradFill rotWithShape="0">
          <a:gsLst>
            <a:gs pos="0">
              <a:srgbClr val="FFFFFF">
                <a:hueOff val="0"/>
                <a:satOff val="0"/>
                <a:lumOff val="-25000"/>
                <a:alphaOff val="0"/>
                <a:shade val="51000"/>
                <a:satMod val="130000"/>
              </a:srgbClr>
            </a:gs>
            <a:gs pos="80000">
              <a:srgbClr val="FFFFFF">
                <a:hueOff val="0"/>
                <a:satOff val="0"/>
                <a:lumOff val="-25000"/>
                <a:alphaOff val="0"/>
                <a:shade val="93000"/>
                <a:satMod val="130000"/>
              </a:srgbClr>
            </a:gs>
            <a:gs pos="100000">
              <a:srgbClr val="FFFFFF">
                <a:hueOff val="0"/>
                <a:satOff val="0"/>
                <a:lumOff val="-2500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fr-CH" dirty="0">
              <a:solidFill>
                <a:srgbClr val="000000"/>
              </a:solidFill>
              <a:latin typeface="Arial"/>
              <a:ea typeface="+mn-ea"/>
              <a:cs typeface="+mn-cs"/>
            </a:rPr>
            <a:t>Parties prenantes extérieures</a:t>
          </a:r>
        </a:p>
      </dgm:t>
    </dgm:pt>
    <dgm:pt modelId="{8FE75902-7503-43C1-AC15-6080AF14A850}" type="parTrans" cxnId="{C8002A46-CC29-4189-A218-8B2B41B91DD4}">
      <dgm:prSet/>
      <dgm:spPr/>
      <dgm:t>
        <a:bodyPr/>
        <a:lstStyle/>
        <a:p>
          <a:pPr algn="ctr"/>
          <a:endParaRPr lang="fr-CH"/>
        </a:p>
      </dgm:t>
    </dgm:pt>
    <dgm:pt modelId="{00328CE6-45AB-4B77-86EF-F802C92E50EA}" type="sibTrans" cxnId="{C8002A46-CC29-4189-A218-8B2B41B91DD4}">
      <dgm:prSet/>
      <dgm:spPr/>
      <dgm:t>
        <a:bodyPr/>
        <a:lstStyle/>
        <a:p>
          <a:pPr algn="ctr"/>
          <a:endParaRPr lang="fr-CH"/>
        </a:p>
      </dgm:t>
    </dgm:pt>
    <dgm:pt modelId="{8431BAA7-CB08-4602-96AF-02095BA244F1}">
      <dgm:prSet/>
      <dgm:spPr>
        <a:xfrm>
          <a:off x="655799" y="991630"/>
          <a:ext cx="2333625" cy="2333625"/>
        </a:xfrm>
        <a:prstGeom prst="ellipse">
          <a:avLst/>
        </a:prstGeom>
        <a:gradFill rotWithShape="0">
          <a:gsLst>
            <a:gs pos="0">
              <a:srgbClr val="FFFFFF">
                <a:hueOff val="0"/>
                <a:satOff val="0"/>
                <a:lumOff val="-50000"/>
                <a:alphaOff val="0"/>
                <a:shade val="51000"/>
                <a:satMod val="130000"/>
              </a:srgbClr>
            </a:gs>
            <a:gs pos="80000">
              <a:srgbClr val="FFFFFF">
                <a:hueOff val="0"/>
                <a:satOff val="0"/>
                <a:lumOff val="-50000"/>
                <a:alphaOff val="0"/>
                <a:shade val="93000"/>
                <a:satMod val="130000"/>
              </a:srgbClr>
            </a:gs>
            <a:gs pos="100000">
              <a:srgbClr val="FFFFFF">
                <a:hueOff val="0"/>
                <a:satOff val="0"/>
                <a:lumOff val="-5000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fr-CH" dirty="0">
              <a:solidFill>
                <a:srgbClr val="FFFFFF"/>
              </a:solidFill>
              <a:latin typeface="Arial"/>
              <a:ea typeface="+mn-ea"/>
              <a:cs typeface="+mn-cs"/>
            </a:rPr>
            <a:t>Organisme</a:t>
          </a:r>
        </a:p>
      </dgm:t>
    </dgm:pt>
    <dgm:pt modelId="{3C04D160-8CAE-4C06-B025-56A940A86408}" type="parTrans" cxnId="{B8069AA8-FE6D-45E8-A6BD-D98F2FA361F7}">
      <dgm:prSet/>
      <dgm:spPr/>
      <dgm:t>
        <a:bodyPr/>
        <a:lstStyle/>
        <a:p>
          <a:pPr algn="ctr"/>
          <a:endParaRPr lang="fr-CH"/>
        </a:p>
      </dgm:t>
    </dgm:pt>
    <dgm:pt modelId="{4C6E09E2-D001-4061-A581-BF2B8178CEC9}" type="sibTrans" cxnId="{B8069AA8-FE6D-45E8-A6BD-D98F2FA361F7}">
      <dgm:prSet/>
      <dgm:spPr/>
      <dgm:t>
        <a:bodyPr/>
        <a:lstStyle/>
        <a:p>
          <a:pPr algn="ctr"/>
          <a:endParaRPr lang="fr-CH"/>
        </a:p>
      </dgm:t>
    </dgm:pt>
    <dgm:pt modelId="{09EF6D4E-9E77-4C7B-B849-0D519DE067B3}">
      <dgm:prSet/>
      <dgm:spPr>
        <a:xfrm>
          <a:off x="871708" y="1491698"/>
          <a:ext cx="1833562" cy="1833562"/>
        </a:xfrm>
        <a:prstGeom prst="ellipse">
          <a:avLst/>
        </a:prstGeom>
        <a:gradFill rotWithShape="0">
          <a:gsLst>
            <a:gs pos="0">
              <a:srgbClr val="FFFFFF">
                <a:hueOff val="0"/>
                <a:satOff val="0"/>
                <a:lumOff val="-75000"/>
                <a:alphaOff val="0"/>
                <a:shade val="51000"/>
                <a:satMod val="130000"/>
              </a:srgbClr>
            </a:gs>
            <a:gs pos="80000">
              <a:srgbClr val="FFFFFF">
                <a:hueOff val="0"/>
                <a:satOff val="0"/>
                <a:lumOff val="-75000"/>
                <a:alphaOff val="0"/>
                <a:shade val="93000"/>
                <a:satMod val="130000"/>
              </a:srgbClr>
            </a:gs>
            <a:gs pos="100000">
              <a:srgbClr val="FFFFFF">
                <a:hueOff val="0"/>
                <a:satOff val="0"/>
                <a:lumOff val="-7500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fr-CH" dirty="0">
              <a:solidFill>
                <a:srgbClr val="FFFFFF"/>
              </a:solidFill>
              <a:latin typeface="Arial"/>
              <a:ea typeface="+mn-ea"/>
              <a:cs typeface="+mn-cs"/>
            </a:rPr>
            <a:t>Système documentaire</a:t>
          </a:r>
        </a:p>
      </dgm:t>
    </dgm:pt>
    <dgm:pt modelId="{30B15550-E613-428B-80D1-0FC6AEC5A188}" type="parTrans" cxnId="{A0B8A0E1-9C40-40A0-9E4B-88DCC8090528}">
      <dgm:prSet/>
      <dgm:spPr/>
      <dgm:t>
        <a:bodyPr/>
        <a:lstStyle/>
        <a:p>
          <a:pPr algn="ctr"/>
          <a:endParaRPr lang="fr-CH"/>
        </a:p>
      </dgm:t>
    </dgm:pt>
    <dgm:pt modelId="{183525C6-8760-45C3-820F-4FF740D19532}" type="sibTrans" cxnId="{A0B8A0E1-9C40-40A0-9E4B-88DCC8090528}">
      <dgm:prSet/>
      <dgm:spPr/>
      <dgm:t>
        <a:bodyPr/>
        <a:lstStyle/>
        <a:p>
          <a:pPr algn="ctr"/>
          <a:endParaRPr lang="fr-CH"/>
        </a:p>
      </dgm:t>
    </dgm:pt>
    <dgm:pt modelId="{1D71D712-360A-42A2-B2F4-927AD7C72B6C}">
      <dgm:prSet/>
      <dgm:spPr>
        <a:xfrm>
          <a:off x="1121734" y="2000250"/>
          <a:ext cx="1333500" cy="1333500"/>
        </a:xfrm>
        <a:prstGeom prst="ellipse">
          <a:avLst/>
        </a:prstGeom>
        <a:gradFill rotWithShape="0">
          <a:gsLst>
            <a:gs pos="0">
              <a:srgbClr val="FFFFFF">
                <a:hueOff val="0"/>
                <a:satOff val="0"/>
                <a:lumOff val="-100000"/>
                <a:alphaOff val="0"/>
                <a:shade val="51000"/>
                <a:satMod val="130000"/>
              </a:srgbClr>
            </a:gs>
            <a:gs pos="80000">
              <a:srgbClr val="FFFFFF">
                <a:hueOff val="0"/>
                <a:satOff val="0"/>
                <a:lumOff val="-100000"/>
                <a:alphaOff val="0"/>
                <a:shade val="93000"/>
                <a:satMod val="130000"/>
              </a:srgbClr>
            </a:gs>
            <a:gs pos="100000">
              <a:srgbClr val="FFFFFF">
                <a:hueOff val="0"/>
                <a:satOff val="0"/>
                <a:lumOff val="-100000"/>
                <a:alphaOff val="0"/>
                <a:shade val="94000"/>
                <a:satMod val="135000"/>
              </a:srgbClr>
            </a:gs>
          </a:gsLst>
          <a:lin ang="16200000" scaled="0"/>
        </a:gradFill>
        <a:ln>
          <a:noFill/>
        </a:ln>
        <a:effectLst>
          <a:outerShdw blurRad="40000" dist="23000" dir="5400000" rotWithShape="0">
            <a:srgbClr val="000000">
              <a:alpha val="35000"/>
            </a:srgbClr>
          </a:outerShdw>
        </a:effectLst>
      </dgm:spPr>
      <dgm:t>
        <a:bodyPr/>
        <a:lstStyle/>
        <a:p>
          <a:pPr algn="ctr"/>
          <a:r>
            <a:rPr lang="fr-CH" dirty="0">
              <a:solidFill>
                <a:srgbClr val="FFFFFF"/>
              </a:solidFill>
              <a:latin typeface="Arial"/>
              <a:ea typeface="+mn-ea"/>
              <a:cs typeface="+mn-cs"/>
            </a:rPr>
            <a:t>Documents d’activité et processus documentaires</a:t>
          </a:r>
        </a:p>
      </dgm:t>
    </dgm:pt>
    <dgm:pt modelId="{96A97BA9-BA9C-42F2-81E1-9D757DFDD236}" type="parTrans" cxnId="{85468FA0-8ABC-4F07-8CEA-AA12CC542F83}">
      <dgm:prSet/>
      <dgm:spPr/>
      <dgm:t>
        <a:bodyPr/>
        <a:lstStyle/>
        <a:p>
          <a:pPr algn="ctr"/>
          <a:endParaRPr lang="fr-CH"/>
        </a:p>
      </dgm:t>
    </dgm:pt>
    <dgm:pt modelId="{95B347BA-10D9-426C-A8AE-0E2A60928FF4}" type="sibTrans" cxnId="{85468FA0-8ABC-4F07-8CEA-AA12CC542F83}">
      <dgm:prSet/>
      <dgm:spPr/>
      <dgm:t>
        <a:bodyPr/>
        <a:lstStyle/>
        <a:p>
          <a:pPr algn="ctr"/>
          <a:endParaRPr lang="fr-CH"/>
        </a:p>
      </dgm:t>
    </dgm:pt>
    <dgm:pt modelId="{88B68C7C-9C71-4E56-880D-B930C6D35008}" type="pres">
      <dgm:prSet presAssocID="{25B57170-9218-45BC-9EE7-FC17F3C811C8}" presName="Name0" presStyleCnt="0">
        <dgm:presLayoutVars>
          <dgm:chMax val="7"/>
          <dgm:resizeHandles val="exact"/>
        </dgm:presLayoutVars>
      </dgm:prSet>
      <dgm:spPr/>
    </dgm:pt>
    <dgm:pt modelId="{FC63DD8D-777A-468D-8333-62C73A9AEF67}" type="pres">
      <dgm:prSet presAssocID="{25B57170-9218-45BC-9EE7-FC17F3C811C8}" presName="comp1" presStyleCnt="0"/>
      <dgm:spPr/>
    </dgm:pt>
    <dgm:pt modelId="{FA6FDCF7-678A-4770-80D6-4A9980AB5810}" type="pres">
      <dgm:prSet presAssocID="{25B57170-9218-45BC-9EE7-FC17F3C811C8}" presName="circle1" presStyleLbl="node1" presStyleIdx="0" presStyleCnt="5" custLinFactNeighborX="-142" custLinFactNeighborY="609"/>
      <dgm:spPr>
        <a:prstGeom prst="ellipse">
          <a:avLst/>
        </a:prstGeom>
      </dgm:spPr>
    </dgm:pt>
    <dgm:pt modelId="{685A6806-D596-4124-83CD-CE5598D9565F}" type="pres">
      <dgm:prSet presAssocID="{25B57170-9218-45BC-9EE7-FC17F3C811C8}" presName="c1text" presStyleLbl="node1" presStyleIdx="0" presStyleCnt="5">
        <dgm:presLayoutVars>
          <dgm:bulletEnabled val="1"/>
        </dgm:presLayoutVars>
      </dgm:prSet>
      <dgm:spPr/>
    </dgm:pt>
    <dgm:pt modelId="{1EF2DE4E-4E8E-47EA-823B-0927FAA6368D}" type="pres">
      <dgm:prSet presAssocID="{25B57170-9218-45BC-9EE7-FC17F3C811C8}" presName="comp2" presStyleCnt="0"/>
      <dgm:spPr/>
    </dgm:pt>
    <dgm:pt modelId="{F7550788-691C-41EB-BE1F-AF3F203EA9C1}" type="pres">
      <dgm:prSet presAssocID="{25B57170-9218-45BC-9EE7-FC17F3C811C8}" presName="circle2" presStyleLbl="node1" presStyleIdx="1" presStyleCnt="5"/>
      <dgm:spPr>
        <a:prstGeom prst="ellipse">
          <a:avLst/>
        </a:prstGeom>
      </dgm:spPr>
    </dgm:pt>
    <dgm:pt modelId="{84608063-394E-403E-812E-9A26F9103B7F}" type="pres">
      <dgm:prSet presAssocID="{25B57170-9218-45BC-9EE7-FC17F3C811C8}" presName="c2text" presStyleLbl="node1" presStyleIdx="1" presStyleCnt="5">
        <dgm:presLayoutVars>
          <dgm:bulletEnabled val="1"/>
        </dgm:presLayoutVars>
      </dgm:prSet>
      <dgm:spPr/>
    </dgm:pt>
    <dgm:pt modelId="{D5535B13-6E37-4628-BE34-D672AD672305}" type="pres">
      <dgm:prSet presAssocID="{25B57170-9218-45BC-9EE7-FC17F3C811C8}" presName="comp3" presStyleCnt="0"/>
      <dgm:spPr/>
    </dgm:pt>
    <dgm:pt modelId="{ACB57711-C23B-4E40-9D9D-04A372A845A6}" type="pres">
      <dgm:prSet presAssocID="{25B57170-9218-45BC-9EE7-FC17F3C811C8}" presName="circle3" presStyleLbl="node1" presStyleIdx="2" presStyleCnt="5" custLinFactNeighborX="143" custLinFactNeighborY="-364"/>
      <dgm:spPr>
        <a:prstGeom prst="ellipse">
          <a:avLst/>
        </a:prstGeom>
      </dgm:spPr>
    </dgm:pt>
    <dgm:pt modelId="{031BB1FA-2AC7-4A2A-A3B0-5466ABD8A305}" type="pres">
      <dgm:prSet presAssocID="{25B57170-9218-45BC-9EE7-FC17F3C811C8}" presName="c3text" presStyleLbl="node1" presStyleIdx="2" presStyleCnt="5">
        <dgm:presLayoutVars>
          <dgm:bulletEnabled val="1"/>
        </dgm:presLayoutVars>
      </dgm:prSet>
      <dgm:spPr/>
    </dgm:pt>
    <dgm:pt modelId="{DA66CB97-50A8-4F47-9CDD-121A9B29CD1A}" type="pres">
      <dgm:prSet presAssocID="{25B57170-9218-45BC-9EE7-FC17F3C811C8}" presName="comp4" presStyleCnt="0"/>
      <dgm:spPr/>
    </dgm:pt>
    <dgm:pt modelId="{43215FF8-8159-4231-9931-D3F9DDA06AD4}" type="pres">
      <dgm:prSet presAssocID="{25B57170-9218-45BC-9EE7-FC17F3C811C8}" presName="circle4" presStyleLbl="node1" presStyleIdx="3" presStyleCnt="5" custLinFactNeighborX="-1679" custLinFactNeighborY="-463"/>
      <dgm:spPr>
        <a:prstGeom prst="ellipse">
          <a:avLst/>
        </a:prstGeom>
      </dgm:spPr>
    </dgm:pt>
    <dgm:pt modelId="{0E31EBAF-5101-41BE-BE97-D9541DE60019}" type="pres">
      <dgm:prSet presAssocID="{25B57170-9218-45BC-9EE7-FC17F3C811C8}" presName="c4text" presStyleLbl="node1" presStyleIdx="3" presStyleCnt="5">
        <dgm:presLayoutVars>
          <dgm:bulletEnabled val="1"/>
        </dgm:presLayoutVars>
      </dgm:prSet>
      <dgm:spPr/>
    </dgm:pt>
    <dgm:pt modelId="{1048F149-9734-40D9-BEAA-641AB65A0093}" type="pres">
      <dgm:prSet presAssocID="{25B57170-9218-45BC-9EE7-FC17F3C811C8}" presName="comp5" presStyleCnt="0"/>
      <dgm:spPr/>
    </dgm:pt>
    <dgm:pt modelId="{F67837CB-18F7-41EA-9F37-6F71E10B1172}" type="pres">
      <dgm:prSet presAssocID="{25B57170-9218-45BC-9EE7-FC17F3C811C8}" presName="circle5" presStyleLbl="node1" presStyleIdx="4" presStyleCnt="5" custLinFactNeighborX="-2309" custLinFactNeighborY="794"/>
      <dgm:spPr>
        <a:prstGeom prst="ellipse">
          <a:avLst/>
        </a:prstGeom>
      </dgm:spPr>
    </dgm:pt>
    <dgm:pt modelId="{12983E1F-2A51-4473-ABDD-6515753214B5}" type="pres">
      <dgm:prSet presAssocID="{25B57170-9218-45BC-9EE7-FC17F3C811C8}" presName="c5text" presStyleLbl="node1" presStyleIdx="4" presStyleCnt="5">
        <dgm:presLayoutVars>
          <dgm:bulletEnabled val="1"/>
        </dgm:presLayoutVars>
      </dgm:prSet>
      <dgm:spPr/>
    </dgm:pt>
  </dgm:ptLst>
  <dgm:cxnLst>
    <dgm:cxn modelId="{E1EE492C-7E5E-4E96-8405-60ADD90CE47D}" type="presOf" srcId="{2FFB8C11-6384-41EF-B113-034607C1863A}" destId="{685A6806-D596-4124-83CD-CE5598D9565F}" srcOrd="1" destOrd="0" presId="urn:microsoft.com/office/officeart/2005/8/layout/venn2"/>
    <dgm:cxn modelId="{1E999340-40D4-4A02-B07D-48A3FF75AF52}" type="presOf" srcId="{1D71D712-360A-42A2-B2F4-927AD7C72B6C}" destId="{12983E1F-2A51-4473-ABDD-6515753214B5}" srcOrd="1" destOrd="0" presId="urn:microsoft.com/office/officeart/2005/8/layout/venn2"/>
    <dgm:cxn modelId="{F9C0BD60-95BE-4833-93FE-E788899CA5C3}" type="presOf" srcId="{7FD2C2BD-08F6-4D45-832C-CF3699526122}" destId="{84608063-394E-403E-812E-9A26F9103B7F}" srcOrd="1" destOrd="0" presId="urn:microsoft.com/office/officeart/2005/8/layout/venn2"/>
    <dgm:cxn modelId="{C8002A46-CC29-4189-A218-8B2B41B91DD4}" srcId="{25B57170-9218-45BC-9EE7-FC17F3C811C8}" destId="{7FD2C2BD-08F6-4D45-832C-CF3699526122}" srcOrd="1" destOrd="0" parTransId="{8FE75902-7503-43C1-AC15-6080AF14A850}" sibTransId="{00328CE6-45AB-4B77-86EF-F802C92E50EA}"/>
    <dgm:cxn modelId="{9999E966-EC7B-4A0A-A44F-76BB1FDF6C12}" type="presOf" srcId="{7FD2C2BD-08F6-4D45-832C-CF3699526122}" destId="{F7550788-691C-41EB-BE1F-AF3F203EA9C1}" srcOrd="0" destOrd="0" presId="urn:microsoft.com/office/officeart/2005/8/layout/venn2"/>
    <dgm:cxn modelId="{9213194E-1A07-4676-A004-86B45D931E7B}" type="presOf" srcId="{09EF6D4E-9E77-4C7B-B849-0D519DE067B3}" destId="{43215FF8-8159-4231-9931-D3F9DDA06AD4}" srcOrd="0" destOrd="0" presId="urn:microsoft.com/office/officeart/2005/8/layout/venn2"/>
    <dgm:cxn modelId="{DB919470-F29C-481B-8976-B76F139134CD}" type="presOf" srcId="{8431BAA7-CB08-4602-96AF-02095BA244F1}" destId="{031BB1FA-2AC7-4A2A-A3B0-5466ABD8A305}" srcOrd="1" destOrd="0" presId="urn:microsoft.com/office/officeart/2005/8/layout/venn2"/>
    <dgm:cxn modelId="{9918F67B-184E-4209-B47F-60D17EC6CFA1}" type="presOf" srcId="{2FFB8C11-6384-41EF-B113-034607C1863A}" destId="{FA6FDCF7-678A-4770-80D6-4A9980AB5810}" srcOrd="0" destOrd="0" presId="urn:microsoft.com/office/officeart/2005/8/layout/venn2"/>
    <dgm:cxn modelId="{85468FA0-8ABC-4F07-8CEA-AA12CC542F83}" srcId="{25B57170-9218-45BC-9EE7-FC17F3C811C8}" destId="{1D71D712-360A-42A2-B2F4-927AD7C72B6C}" srcOrd="4" destOrd="0" parTransId="{96A97BA9-BA9C-42F2-81E1-9D757DFDD236}" sibTransId="{95B347BA-10D9-426C-A8AE-0E2A60928FF4}"/>
    <dgm:cxn modelId="{34C6D7A7-1918-45C1-AC30-7587D9FC6730}" type="presOf" srcId="{09EF6D4E-9E77-4C7B-B849-0D519DE067B3}" destId="{0E31EBAF-5101-41BE-BE97-D9541DE60019}" srcOrd="1" destOrd="0" presId="urn:microsoft.com/office/officeart/2005/8/layout/venn2"/>
    <dgm:cxn modelId="{B8069AA8-FE6D-45E8-A6BD-D98F2FA361F7}" srcId="{25B57170-9218-45BC-9EE7-FC17F3C811C8}" destId="{8431BAA7-CB08-4602-96AF-02095BA244F1}" srcOrd="2" destOrd="0" parTransId="{3C04D160-8CAE-4C06-B025-56A940A86408}" sibTransId="{4C6E09E2-D001-4061-A581-BF2B8178CEC9}"/>
    <dgm:cxn modelId="{FF4E4ABF-C522-46C9-A825-FE7B6B89A518}" type="presOf" srcId="{1D71D712-360A-42A2-B2F4-927AD7C72B6C}" destId="{F67837CB-18F7-41EA-9F37-6F71E10B1172}" srcOrd="0" destOrd="0" presId="urn:microsoft.com/office/officeart/2005/8/layout/venn2"/>
    <dgm:cxn modelId="{9618B0C2-CE4E-46F8-AE86-9E3C27EF0695}" type="presOf" srcId="{25B57170-9218-45BC-9EE7-FC17F3C811C8}" destId="{88B68C7C-9C71-4E56-880D-B930C6D35008}" srcOrd="0" destOrd="0" presId="urn:microsoft.com/office/officeart/2005/8/layout/venn2"/>
    <dgm:cxn modelId="{747AD6CC-26ED-401B-8923-AAD28CEA1A8B}" type="presOf" srcId="{8431BAA7-CB08-4602-96AF-02095BA244F1}" destId="{ACB57711-C23B-4E40-9D9D-04A372A845A6}" srcOrd="0" destOrd="0" presId="urn:microsoft.com/office/officeart/2005/8/layout/venn2"/>
    <dgm:cxn modelId="{A0B8A0E1-9C40-40A0-9E4B-88DCC8090528}" srcId="{25B57170-9218-45BC-9EE7-FC17F3C811C8}" destId="{09EF6D4E-9E77-4C7B-B849-0D519DE067B3}" srcOrd="3" destOrd="0" parTransId="{30B15550-E613-428B-80D1-0FC6AEC5A188}" sibTransId="{183525C6-8760-45C3-820F-4FF740D19532}"/>
    <dgm:cxn modelId="{699B80FB-B960-406B-85C6-92EABE0CC649}" srcId="{25B57170-9218-45BC-9EE7-FC17F3C811C8}" destId="{2FFB8C11-6384-41EF-B113-034607C1863A}" srcOrd="0" destOrd="0" parTransId="{B2AA31FE-F916-40AC-919E-7360CD8DEF75}" sibTransId="{BA03B57B-FE8D-4B95-8CA3-5767347E1BC1}"/>
    <dgm:cxn modelId="{4F1CA4D2-81D0-46D8-BC45-1C4DCD8E3904}" type="presParOf" srcId="{88B68C7C-9C71-4E56-880D-B930C6D35008}" destId="{FC63DD8D-777A-468D-8333-62C73A9AEF67}" srcOrd="0" destOrd="0" presId="urn:microsoft.com/office/officeart/2005/8/layout/venn2"/>
    <dgm:cxn modelId="{35A9E86A-5B64-4BEE-B8F2-205DC8A8F2AE}" type="presParOf" srcId="{FC63DD8D-777A-468D-8333-62C73A9AEF67}" destId="{FA6FDCF7-678A-4770-80D6-4A9980AB5810}" srcOrd="0" destOrd="0" presId="urn:microsoft.com/office/officeart/2005/8/layout/venn2"/>
    <dgm:cxn modelId="{A02A8DC2-B416-4E22-A733-EC133A92747B}" type="presParOf" srcId="{FC63DD8D-777A-468D-8333-62C73A9AEF67}" destId="{685A6806-D596-4124-83CD-CE5598D9565F}" srcOrd="1" destOrd="0" presId="urn:microsoft.com/office/officeart/2005/8/layout/venn2"/>
    <dgm:cxn modelId="{A730727F-35F5-4B1E-B258-C0B339B0480B}" type="presParOf" srcId="{88B68C7C-9C71-4E56-880D-B930C6D35008}" destId="{1EF2DE4E-4E8E-47EA-823B-0927FAA6368D}" srcOrd="1" destOrd="0" presId="urn:microsoft.com/office/officeart/2005/8/layout/venn2"/>
    <dgm:cxn modelId="{DFF0FE79-4AC6-41A3-95F7-CF8502D46B15}" type="presParOf" srcId="{1EF2DE4E-4E8E-47EA-823B-0927FAA6368D}" destId="{F7550788-691C-41EB-BE1F-AF3F203EA9C1}" srcOrd="0" destOrd="0" presId="urn:microsoft.com/office/officeart/2005/8/layout/venn2"/>
    <dgm:cxn modelId="{0D90F526-778B-49DE-B4DA-8BD02BB74B01}" type="presParOf" srcId="{1EF2DE4E-4E8E-47EA-823B-0927FAA6368D}" destId="{84608063-394E-403E-812E-9A26F9103B7F}" srcOrd="1" destOrd="0" presId="urn:microsoft.com/office/officeart/2005/8/layout/venn2"/>
    <dgm:cxn modelId="{4674CEED-2997-46D6-91C7-884D7A3F78BC}" type="presParOf" srcId="{88B68C7C-9C71-4E56-880D-B930C6D35008}" destId="{D5535B13-6E37-4628-BE34-D672AD672305}" srcOrd="2" destOrd="0" presId="urn:microsoft.com/office/officeart/2005/8/layout/venn2"/>
    <dgm:cxn modelId="{9CA9C0F7-8BD2-4C4A-A276-93BCA5BBAE50}" type="presParOf" srcId="{D5535B13-6E37-4628-BE34-D672AD672305}" destId="{ACB57711-C23B-4E40-9D9D-04A372A845A6}" srcOrd="0" destOrd="0" presId="urn:microsoft.com/office/officeart/2005/8/layout/venn2"/>
    <dgm:cxn modelId="{D40E02C4-099C-4F75-92B3-DBF3F058F837}" type="presParOf" srcId="{D5535B13-6E37-4628-BE34-D672AD672305}" destId="{031BB1FA-2AC7-4A2A-A3B0-5466ABD8A305}" srcOrd="1" destOrd="0" presId="urn:microsoft.com/office/officeart/2005/8/layout/venn2"/>
    <dgm:cxn modelId="{B4943A39-1712-4557-988C-72F8E6A317F6}" type="presParOf" srcId="{88B68C7C-9C71-4E56-880D-B930C6D35008}" destId="{DA66CB97-50A8-4F47-9CDD-121A9B29CD1A}" srcOrd="3" destOrd="0" presId="urn:microsoft.com/office/officeart/2005/8/layout/venn2"/>
    <dgm:cxn modelId="{801C3D1B-D53D-4F2A-9401-CA21AF539244}" type="presParOf" srcId="{DA66CB97-50A8-4F47-9CDD-121A9B29CD1A}" destId="{43215FF8-8159-4231-9931-D3F9DDA06AD4}" srcOrd="0" destOrd="0" presId="urn:microsoft.com/office/officeart/2005/8/layout/venn2"/>
    <dgm:cxn modelId="{80435489-F305-447B-840D-A1BBEBA2C537}" type="presParOf" srcId="{DA66CB97-50A8-4F47-9CDD-121A9B29CD1A}" destId="{0E31EBAF-5101-41BE-BE97-D9541DE60019}" srcOrd="1" destOrd="0" presId="urn:microsoft.com/office/officeart/2005/8/layout/venn2"/>
    <dgm:cxn modelId="{FF3E2131-EAD0-4A03-9638-53B34AED334A}" type="presParOf" srcId="{88B68C7C-9C71-4E56-880D-B930C6D35008}" destId="{1048F149-9734-40D9-BEAA-641AB65A0093}" srcOrd="4" destOrd="0" presId="urn:microsoft.com/office/officeart/2005/8/layout/venn2"/>
    <dgm:cxn modelId="{73C5C2BF-6BDA-4D1F-827D-9E07616106E6}" type="presParOf" srcId="{1048F149-9734-40D9-BEAA-641AB65A0093}" destId="{F67837CB-18F7-41EA-9F37-6F71E10B1172}" srcOrd="0" destOrd="0" presId="urn:microsoft.com/office/officeart/2005/8/layout/venn2"/>
    <dgm:cxn modelId="{FA3BAE1A-0865-4C4F-A6E9-DF2BD2BBBB07}" type="presParOf" srcId="{1048F149-9734-40D9-BEAA-641AB65A0093}" destId="{12983E1F-2A51-4473-ABDD-6515753214B5}"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FDCF7-678A-4770-80D6-4A9980AB5810}">
      <dsp:nvSpPr>
        <dsp:cNvPr id="0" name=""/>
        <dsp:cNvSpPr/>
      </dsp:nvSpPr>
      <dsp:spPr>
        <a:xfrm>
          <a:off x="147666" y="0"/>
          <a:ext cx="3333750" cy="3333750"/>
        </a:xfrm>
        <a:prstGeom prst="ellipse">
          <a:avLst/>
        </a:prstGeom>
        <a:gradFill rotWithShape="0">
          <a:gsLst>
            <a:gs pos="0">
              <a:srgbClr val="FFFFFF">
                <a:hueOff val="0"/>
                <a:satOff val="0"/>
                <a:lumOff val="0"/>
                <a:alphaOff val="0"/>
                <a:shade val="51000"/>
                <a:satMod val="130000"/>
              </a:srgbClr>
            </a:gs>
            <a:gs pos="80000">
              <a:srgbClr val="FFFFFF">
                <a:hueOff val="0"/>
                <a:satOff val="0"/>
                <a:lumOff val="0"/>
                <a:alphaOff val="0"/>
                <a:shade val="93000"/>
                <a:satMod val="130000"/>
              </a:srgbClr>
            </a:gs>
            <a:gs pos="100000">
              <a:srgbClr val="FFFFFF">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fr-CH" sz="500" kern="1200" dirty="0">
              <a:solidFill>
                <a:srgbClr val="000000"/>
              </a:solidFill>
              <a:latin typeface="Arial"/>
              <a:ea typeface="+mn-ea"/>
              <a:cs typeface="+mn-cs"/>
            </a:rPr>
            <a:t>Société</a:t>
          </a:r>
        </a:p>
      </dsp:txBody>
      <dsp:txXfrm>
        <a:off x="1372543" y="215509"/>
        <a:ext cx="883994" cy="235731"/>
      </dsp:txXfrm>
    </dsp:sp>
    <dsp:sp modelId="{F7550788-691C-41EB-BE1F-AF3F203EA9C1}">
      <dsp:nvSpPr>
        <dsp:cNvPr id="0" name=""/>
        <dsp:cNvSpPr/>
      </dsp:nvSpPr>
      <dsp:spPr>
        <a:xfrm>
          <a:off x="402431" y="500062"/>
          <a:ext cx="2833687" cy="2833687"/>
        </a:xfrm>
        <a:prstGeom prst="ellipse">
          <a:avLst/>
        </a:prstGeom>
        <a:gradFill rotWithShape="0">
          <a:gsLst>
            <a:gs pos="0">
              <a:srgbClr val="FFFFFF">
                <a:hueOff val="0"/>
                <a:satOff val="0"/>
                <a:lumOff val="-25000"/>
                <a:alphaOff val="0"/>
                <a:shade val="51000"/>
                <a:satMod val="130000"/>
              </a:srgbClr>
            </a:gs>
            <a:gs pos="80000">
              <a:srgbClr val="FFFFFF">
                <a:hueOff val="0"/>
                <a:satOff val="0"/>
                <a:lumOff val="-25000"/>
                <a:alphaOff val="0"/>
                <a:shade val="93000"/>
                <a:satMod val="130000"/>
              </a:srgbClr>
            </a:gs>
            <a:gs pos="100000">
              <a:srgbClr val="FFFFFF">
                <a:hueOff val="0"/>
                <a:satOff val="0"/>
                <a:lumOff val="-2500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fr-CH" sz="500" kern="1200" dirty="0">
              <a:solidFill>
                <a:srgbClr val="000000"/>
              </a:solidFill>
              <a:latin typeface="Arial"/>
              <a:ea typeface="+mn-ea"/>
              <a:cs typeface="+mn-cs"/>
            </a:rPr>
            <a:t>Parties prenantes extérieures</a:t>
          </a:r>
        </a:p>
      </dsp:txBody>
      <dsp:txXfrm>
        <a:off x="1387223" y="710722"/>
        <a:ext cx="864103" cy="230428"/>
      </dsp:txXfrm>
    </dsp:sp>
    <dsp:sp modelId="{ACB57711-C23B-4E40-9D9D-04A372A845A6}">
      <dsp:nvSpPr>
        <dsp:cNvPr id="0" name=""/>
        <dsp:cNvSpPr/>
      </dsp:nvSpPr>
      <dsp:spPr>
        <a:xfrm>
          <a:off x="655799" y="991630"/>
          <a:ext cx="2333625" cy="2333625"/>
        </a:xfrm>
        <a:prstGeom prst="ellipse">
          <a:avLst/>
        </a:prstGeom>
        <a:gradFill rotWithShape="0">
          <a:gsLst>
            <a:gs pos="0">
              <a:srgbClr val="FFFFFF">
                <a:hueOff val="0"/>
                <a:satOff val="0"/>
                <a:lumOff val="-50000"/>
                <a:alphaOff val="0"/>
                <a:shade val="51000"/>
                <a:satMod val="130000"/>
              </a:srgbClr>
            </a:gs>
            <a:gs pos="80000">
              <a:srgbClr val="FFFFFF">
                <a:hueOff val="0"/>
                <a:satOff val="0"/>
                <a:lumOff val="-50000"/>
                <a:alphaOff val="0"/>
                <a:shade val="93000"/>
                <a:satMod val="130000"/>
              </a:srgbClr>
            </a:gs>
            <a:gs pos="100000">
              <a:srgbClr val="FFFFFF">
                <a:hueOff val="0"/>
                <a:satOff val="0"/>
                <a:lumOff val="-5000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fr-CH" sz="500" kern="1200" dirty="0">
              <a:solidFill>
                <a:srgbClr val="FFFFFF"/>
              </a:solidFill>
              <a:latin typeface="Arial"/>
              <a:ea typeface="+mn-ea"/>
              <a:cs typeface="+mn-cs"/>
            </a:rPr>
            <a:t>Organisme</a:t>
          </a:r>
        </a:p>
      </dsp:txBody>
      <dsp:txXfrm>
        <a:off x="1395642" y="1199812"/>
        <a:ext cx="853938" cy="227716"/>
      </dsp:txXfrm>
    </dsp:sp>
    <dsp:sp modelId="{43215FF8-8159-4231-9931-D3F9DDA06AD4}">
      <dsp:nvSpPr>
        <dsp:cNvPr id="0" name=""/>
        <dsp:cNvSpPr/>
      </dsp:nvSpPr>
      <dsp:spPr>
        <a:xfrm>
          <a:off x="871708" y="1491698"/>
          <a:ext cx="1833562" cy="1833562"/>
        </a:xfrm>
        <a:prstGeom prst="ellipse">
          <a:avLst/>
        </a:prstGeom>
        <a:gradFill rotWithShape="0">
          <a:gsLst>
            <a:gs pos="0">
              <a:srgbClr val="FFFFFF">
                <a:hueOff val="0"/>
                <a:satOff val="0"/>
                <a:lumOff val="-75000"/>
                <a:alphaOff val="0"/>
                <a:shade val="51000"/>
                <a:satMod val="130000"/>
              </a:srgbClr>
            </a:gs>
            <a:gs pos="80000">
              <a:srgbClr val="FFFFFF">
                <a:hueOff val="0"/>
                <a:satOff val="0"/>
                <a:lumOff val="-75000"/>
                <a:alphaOff val="0"/>
                <a:shade val="93000"/>
                <a:satMod val="130000"/>
              </a:srgbClr>
            </a:gs>
            <a:gs pos="100000">
              <a:srgbClr val="FFFFFF">
                <a:hueOff val="0"/>
                <a:satOff val="0"/>
                <a:lumOff val="-7500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fr-CH" sz="500" kern="1200" dirty="0">
              <a:solidFill>
                <a:srgbClr val="FFFFFF"/>
              </a:solidFill>
              <a:latin typeface="Arial"/>
              <a:ea typeface="+mn-ea"/>
              <a:cs typeface="+mn-cs"/>
            </a:rPr>
            <a:t>Système documentaire</a:t>
          </a:r>
        </a:p>
      </dsp:txBody>
      <dsp:txXfrm>
        <a:off x="1438427" y="1705051"/>
        <a:ext cx="700123" cy="233375"/>
      </dsp:txXfrm>
    </dsp:sp>
    <dsp:sp modelId="{F67837CB-18F7-41EA-9F37-6F71E10B1172}">
      <dsp:nvSpPr>
        <dsp:cNvPr id="0" name=""/>
        <dsp:cNvSpPr/>
      </dsp:nvSpPr>
      <dsp:spPr>
        <a:xfrm>
          <a:off x="1121734" y="2000250"/>
          <a:ext cx="1333500" cy="1333500"/>
        </a:xfrm>
        <a:prstGeom prst="ellipse">
          <a:avLst/>
        </a:prstGeom>
        <a:gradFill rotWithShape="0">
          <a:gsLst>
            <a:gs pos="0">
              <a:srgbClr val="FFFFFF">
                <a:hueOff val="0"/>
                <a:satOff val="0"/>
                <a:lumOff val="-100000"/>
                <a:alphaOff val="0"/>
                <a:shade val="51000"/>
                <a:satMod val="130000"/>
              </a:srgbClr>
            </a:gs>
            <a:gs pos="80000">
              <a:srgbClr val="FFFFFF">
                <a:hueOff val="0"/>
                <a:satOff val="0"/>
                <a:lumOff val="-100000"/>
                <a:alphaOff val="0"/>
                <a:shade val="93000"/>
                <a:satMod val="130000"/>
              </a:srgbClr>
            </a:gs>
            <a:gs pos="100000">
              <a:srgbClr val="FFFFFF">
                <a:hueOff val="0"/>
                <a:satOff val="0"/>
                <a:lumOff val="-100000"/>
                <a:alphaOff val="0"/>
                <a:shade val="94000"/>
                <a:satMod val="135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222250">
            <a:lnSpc>
              <a:spcPct val="90000"/>
            </a:lnSpc>
            <a:spcBef>
              <a:spcPct val="0"/>
            </a:spcBef>
            <a:spcAft>
              <a:spcPct val="35000"/>
            </a:spcAft>
            <a:buNone/>
          </a:pPr>
          <a:r>
            <a:rPr lang="fr-CH" sz="500" kern="1200" dirty="0">
              <a:solidFill>
                <a:srgbClr val="FFFFFF"/>
              </a:solidFill>
              <a:latin typeface="Arial"/>
              <a:ea typeface="+mn-ea"/>
              <a:cs typeface="+mn-cs"/>
            </a:rPr>
            <a:t>Documents d’activité et processus documentaires</a:t>
          </a:r>
        </a:p>
      </dsp:txBody>
      <dsp:txXfrm>
        <a:off x="1455109" y="2431268"/>
        <a:ext cx="666750" cy="471464"/>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DA82F-6F9A-41EF-9D71-BFC1896D1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26</Pages>
  <Words>8957</Words>
  <Characters>49269</Characters>
  <Application>Microsoft Office Word</Application>
  <DocSecurity>0</DocSecurity>
  <Lines>410</Lines>
  <Paragraphs>116</Paragraphs>
  <ScaleCrop>false</ScaleCrop>
  <HeadingPairs>
    <vt:vector size="2" baseType="variant">
      <vt:variant>
        <vt:lpstr>Titre</vt:lpstr>
      </vt:variant>
      <vt:variant>
        <vt:i4>1</vt:i4>
      </vt:variant>
    </vt:vector>
  </HeadingPairs>
  <TitlesOfParts>
    <vt:vector size="1" baseType="lpstr">
      <vt:lpstr/>
    </vt:vector>
  </TitlesOfParts>
  <Company>HEGGE</Company>
  <LinksUpToDate>false</LinksUpToDate>
  <CharactersWithSpaces>58110</CharactersWithSpaces>
  <SharedDoc>false</SharedDoc>
  <HLinks>
    <vt:vector size="60" baseType="variant">
      <vt:variant>
        <vt:i4>5373979</vt:i4>
      </vt:variant>
      <vt:variant>
        <vt:i4>27</vt:i4>
      </vt:variant>
      <vt:variant>
        <vt:i4>0</vt:i4>
      </vt:variant>
      <vt:variant>
        <vt:i4>5</vt:i4>
      </vt:variant>
      <vt:variant>
        <vt:lpwstr>http://link.springer.com/article/10.1007%2FBF02438903</vt:lpwstr>
      </vt:variant>
      <vt:variant>
        <vt:lpwstr/>
      </vt:variant>
      <vt:variant>
        <vt:i4>1179722</vt:i4>
      </vt:variant>
      <vt:variant>
        <vt:i4>24</vt:i4>
      </vt:variant>
      <vt:variant>
        <vt:i4>0</vt:i4>
      </vt:variant>
      <vt:variant>
        <vt:i4>5</vt:i4>
      </vt:variant>
      <vt:variant>
        <vt:lpwstr>http://legisquebec.gouv.qc.ca/fr/ShowDoc/cs/C-1.1</vt:lpwstr>
      </vt:variant>
      <vt:variant>
        <vt:lpwstr/>
      </vt:variant>
      <vt:variant>
        <vt:i4>3932261</vt:i4>
      </vt:variant>
      <vt:variant>
        <vt:i4>21</vt:i4>
      </vt:variant>
      <vt:variant>
        <vt:i4>0</vt:i4>
      </vt:variant>
      <vt:variant>
        <vt:i4>5</vt:i4>
      </vt:variant>
      <vt:variant>
        <vt:lpwstr>http://legisquebec.gouv.qc.ca/fr/ShowDoc/cs/A-21.1</vt:lpwstr>
      </vt:variant>
      <vt:variant>
        <vt:lpwstr/>
      </vt:variant>
      <vt:variant>
        <vt:i4>6357043</vt:i4>
      </vt:variant>
      <vt:variant>
        <vt:i4>18</vt:i4>
      </vt:variant>
      <vt:variant>
        <vt:i4>0</vt:i4>
      </vt:variant>
      <vt:variant>
        <vt:i4>5</vt:i4>
      </vt:variant>
      <vt:variant>
        <vt:lpwstr>http://www.piaf-archives.org/se-former/module-1-les-archives-pour-quoi-pour-qui-par-qui</vt:lpwstr>
      </vt:variant>
      <vt:variant>
        <vt:lpwstr/>
      </vt:variant>
      <vt:variant>
        <vt:i4>327778</vt:i4>
      </vt:variant>
      <vt:variant>
        <vt:i4>15</vt:i4>
      </vt:variant>
      <vt:variant>
        <vt:i4>0</vt:i4>
      </vt:variant>
      <vt:variant>
        <vt:i4>5</vt:i4>
      </vt:variant>
      <vt:variant>
        <vt:lpwstr>http://issuu.com/nath21/docs/intro_01_archives_a07</vt:lpwstr>
      </vt:variant>
      <vt:variant>
        <vt:lpwstr/>
      </vt:variant>
      <vt:variant>
        <vt:i4>2359345</vt:i4>
      </vt:variant>
      <vt:variant>
        <vt:i4>12</vt:i4>
      </vt:variant>
      <vt:variant>
        <vt:i4>0</vt:i4>
      </vt:variant>
      <vt:variant>
        <vt:i4>5</vt:i4>
      </vt:variant>
      <vt:variant>
        <vt:lpwstr>http://www.piaf-archives.org/se-former/module-2-notions-generales-archivistique</vt:lpwstr>
      </vt:variant>
      <vt:variant>
        <vt:lpwstr/>
      </vt:variant>
      <vt:variant>
        <vt:i4>4259896</vt:i4>
      </vt:variant>
      <vt:variant>
        <vt:i4>9</vt:i4>
      </vt:variant>
      <vt:variant>
        <vt:i4>0</vt:i4>
      </vt:variant>
      <vt:variant>
        <vt:i4>5</vt:i4>
      </vt:variant>
      <vt:variant>
        <vt:lpwstr>http://www.archivistes.qc.ca/cora/afficheFic.php?fic=vol27_4/27-4-couture.pdf</vt:lpwstr>
      </vt:variant>
      <vt:variant>
        <vt:lpwstr/>
      </vt:variant>
      <vt:variant>
        <vt:i4>2949242</vt:i4>
      </vt:variant>
      <vt:variant>
        <vt:i4>6</vt:i4>
      </vt:variant>
      <vt:variant>
        <vt:i4>0</vt:i4>
      </vt:variant>
      <vt:variant>
        <vt:i4>5</vt:i4>
      </vt:variant>
      <vt:variant>
        <vt:lpwstr>http://www.icacds.org.uk/fr/ISAD%28G%29.pdf</vt:lpwstr>
      </vt:variant>
      <vt:variant>
        <vt:lpwstr/>
      </vt:variant>
      <vt:variant>
        <vt:i4>6684729</vt:i4>
      </vt:variant>
      <vt:variant>
        <vt:i4>3</vt:i4>
      </vt:variant>
      <vt:variant>
        <vt:i4>0</vt:i4>
      </vt:variant>
      <vt:variant>
        <vt:i4>5</vt:i4>
      </vt:variant>
      <vt:variant>
        <vt:lpwstr>http://www.cnrtl.fr/definition/information</vt:lpwstr>
      </vt:variant>
      <vt:variant>
        <vt:lpwstr/>
      </vt:variant>
      <vt:variant>
        <vt:i4>7209062</vt:i4>
      </vt:variant>
      <vt:variant>
        <vt:i4>0</vt:i4>
      </vt:variant>
      <vt:variant>
        <vt:i4>0</vt:i4>
      </vt:variant>
      <vt:variant>
        <vt:i4>5</vt:i4>
      </vt:variant>
      <vt:variant>
        <vt:lpwstr>http://www.archivesdefrance.culture.gouv.fr/static/2094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cp:lastModifiedBy>basma makhlouf shabou</cp:lastModifiedBy>
  <cp:revision>2</cp:revision>
  <cp:lastPrinted>2021-11-25T07:13:00Z</cp:lastPrinted>
  <dcterms:created xsi:type="dcterms:W3CDTF">2022-06-11T12:18:00Z</dcterms:created>
  <dcterms:modified xsi:type="dcterms:W3CDTF">2022-06-11T12:18:00Z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701063157</vt:i4>
  </property>
  <property fmtid="{D5CDD505-2E9C-101B-9397-08002B2CF9AE}" pid="3" name="_NewReviewCycle">
    <vt:lpwstr/>
  </property>
  <property fmtid="{D5CDD505-2E9C-101B-9397-08002B2CF9AE}" pid="4" name="_EmailSubject">
    <vt:lpwstr>Ecole d'été 2022 - présentation</vt:lpwstr>
  </property>
  <property fmtid="{D5CDD505-2E9C-101B-9397-08002B2CF9AE}" pid="5" name="_AuthorEmail">
    <vt:lpwstr>aurele.nicolet@hesge.ch</vt:lpwstr>
  </property>
  <property fmtid="{D5CDD505-2E9C-101B-9397-08002B2CF9AE}" pid="6" name="_AuthorEmailDisplayName">
    <vt:lpwstr>Nicolet Aurèle (HES)</vt:lpwstr>
  </property>
  <property fmtid="{D5CDD505-2E9C-101B-9397-08002B2CF9AE}" pid="7" name="_ReviewingToolsShownOnce">
    <vt:lpwstr/>
  </property>
</Properties>
</file>